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C388F" w14:textId="77777777" w:rsidR="00701B0B" w:rsidRPr="00701B0B" w:rsidRDefault="00701B0B" w:rsidP="00DE335D">
      <w:pPr>
        <w:pStyle w:val="Nzev"/>
      </w:pPr>
      <w:r w:rsidRPr="00701B0B">
        <w:t>SMLOUVA O STUDIU V PROGRAMU CELOŽIVOTNÍHO VZDĚLÁVÁNÍ</w:t>
      </w:r>
    </w:p>
    <w:p w14:paraId="0562912E" w14:textId="77777777" w:rsidR="00701B0B" w:rsidRDefault="00701B0B" w:rsidP="00701B0B">
      <w:pPr>
        <w:adjustRightInd w:val="0"/>
        <w:jc w:val="center"/>
        <w:rPr>
          <w:rFonts w:ascii="Inter" w:hAnsi="Inter" w:cs="Tahoma"/>
          <w:b/>
        </w:rPr>
      </w:pPr>
    </w:p>
    <w:p w14:paraId="7ECE4850" w14:textId="0EC1F77C" w:rsidR="00DE335D" w:rsidRDefault="00701B0B" w:rsidP="00DE335D">
      <w:pPr>
        <w:adjustRightInd w:val="0"/>
        <w:jc w:val="center"/>
        <w:rPr>
          <w:rFonts w:ascii="Inter" w:hAnsi="Inter" w:cs="Tahoma"/>
          <w:bCs/>
        </w:rPr>
      </w:pPr>
      <w:r w:rsidRPr="00A344C4">
        <w:rPr>
          <w:rFonts w:ascii="Inter" w:hAnsi="Inter" w:cs="Tahoma"/>
          <w:bCs/>
        </w:rPr>
        <w:t>uzavřená v souladu s ustanovením § 60 zákona č. 111/1998 Sb. o vysokých školách a o změně a doplnění dalších zákonů (zákon o vysokých školách), ve znění pozdějších předpisů, a v souladu s ustanovením § 1746 odst. 2 zákona č. 89/2012 Sb., občanský zákoník, ve znění pozdějších předpisů</w:t>
      </w:r>
      <w:r w:rsidR="0051449F">
        <w:rPr>
          <w:rFonts w:ascii="Inter" w:hAnsi="Inter" w:cs="Tahoma"/>
          <w:bCs/>
        </w:rPr>
        <w:t xml:space="preserve"> (dále jen „občanský zákoník“)</w:t>
      </w:r>
    </w:p>
    <w:p w14:paraId="2B82E66E" w14:textId="77777777" w:rsidR="00B620E2" w:rsidRPr="00DE335D" w:rsidRDefault="00B620E2" w:rsidP="00B620E2">
      <w:pPr>
        <w:pStyle w:val="Nadpis1"/>
        <w:numPr>
          <w:ilvl w:val="0"/>
          <w:numId w:val="0"/>
        </w:numPr>
        <w:spacing w:before="720" w:after="720"/>
        <w:ind w:left="425"/>
      </w:pPr>
      <w:r w:rsidRPr="007F276C">
        <w:t>Smluvní strany:</w:t>
      </w:r>
    </w:p>
    <w:p w14:paraId="57CED87C" w14:textId="77777777" w:rsidR="00B620E2" w:rsidRPr="00701B0B" w:rsidRDefault="00B620E2" w:rsidP="00B620E2">
      <w:pPr>
        <w:tabs>
          <w:tab w:val="left" w:pos="2268"/>
        </w:tabs>
        <w:adjustRightInd w:val="0"/>
        <w:rPr>
          <w:rFonts w:ascii="Inter" w:hAnsi="Inter" w:cs="Tahoma"/>
          <w:b/>
          <w:bCs/>
        </w:rPr>
      </w:pPr>
      <w:r w:rsidRPr="00701B0B">
        <w:rPr>
          <w:rFonts w:ascii="Inter" w:hAnsi="Inter" w:cs="Tahoma"/>
          <w:b/>
          <w:bCs/>
        </w:rPr>
        <w:t>Technická univerzita v Liberci</w:t>
      </w:r>
    </w:p>
    <w:p w14:paraId="3553F4AC" w14:textId="77777777" w:rsidR="00B620E2" w:rsidRPr="00701B0B" w:rsidRDefault="00B620E2" w:rsidP="00B620E2">
      <w:pPr>
        <w:tabs>
          <w:tab w:val="left" w:pos="2268"/>
        </w:tabs>
        <w:adjustRightInd w:val="0"/>
        <w:rPr>
          <w:rFonts w:ascii="Inter" w:hAnsi="Inter" w:cs="Tahoma"/>
        </w:rPr>
      </w:pPr>
      <w:r>
        <w:rPr>
          <w:rFonts w:ascii="Inter" w:hAnsi="Inter" w:cs="Tahoma"/>
        </w:rPr>
        <w:t>s</w:t>
      </w:r>
      <w:r w:rsidRPr="00701B0B">
        <w:rPr>
          <w:rFonts w:ascii="Inter" w:hAnsi="Inter" w:cs="Tahoma"/>
        </w:rPr>
        <w:t>e sídlem:</w:t>
      </w:r>
      <w:r>
        <w:rPr>
          <w:rFonts w:ascii="Inter" w:hAnsi="Inter" w:cs="Tahoma"/>
        </w:rPr>
        <w:tab/>
      </w:r>
      <w:r w:rsidRPr="00701B0B">
        <w:rPr>
          <w:rFonts w:ascii="Inter" w:hAnsi="Inter" w:cs="Tahoma"/>
        </w:rPr>
        <w:t xml:space="preserve">Studentská 2, Liberec 1, </w:t>
      </w:r>
      <w:r>
        <w:rPr>
          <w:rFonts w:ascii="Inter" w:hAnsi="Inter" w:cs="Tahoma"/>
        </w:rPr>
        <w:t xml:space="preserve">PSČ: </w:t>
      </w:r>
      <w:r w:rsidRPr="00701B0B">
        <w:rPr>
          <w:rFonts w:ascii="Inter" w:hAnsi="Inter" w:cs="Tahoma"/>
        </w:rPr>
        <w:t>460</w:t>
      </w:r>
      <w:r>
        <w:rPr>
          <w:rFonts w:ascii="Inter" w:hAnsi="Inter" w:cs="Tahoma"/>
        </w:rPr>
        <w:t xml:space="preserve"> </w:t>
      </w:r>
      <w:r w:rsidRPr="00701B0B">
        <w:rPr>
          <w:rFonts w:ascii="Inter" w:hAnsi="Inter" w:cs="Tahoma"/>
        </w:rPr>
        <w:t>01</w:t>
      </w:r>
    </w:p>
    <w:p w14:paraId="70DE4C57" w14:textId="77777777" w:rsidR="00B620E2" w:rsidRPr="00701B0B" w:rsidRDefault="00B620E2" w:rsidP="00B620E2">
      <w:pPr>
        <w:tabs>
          <w:tab w:val="left" w:pos="2268"/>
        </w:tabs>
        <w:adjustRightInd w:val="0"/>
        <w:rPr>
          <w:rFonts w:ascii="Inter" w:hAnsi="Inter" w:cs="Tahoma"/>
        </w:rPr>
      </w:pPr>
      <w:r w:rsidRPr="00701B0B">
        <w:rPr>
          <w:rFonts w:ascii="Inter" w:hAnsi="Inter" w:cs="Tahoma"/>
        </w:rPr>
        <w:t>IČ</w:t>
      </w:r>
      <w:r>
        <w:rPr>
          <w:rFonts w:ascii="Inter" w:hAnsi="Inter" w:cs="Tahoma"/>
        </w:rPr>
        <w:t>O</w:t>
      </w:r>
      <w:r w:rsidRPr="00701B0B">
        <w:rPr>
          <w:rFonts w:ascii="Inter" w:hAnsi="Inter" w:cs="Tahoma"/>
        </w:rPr>
        <w:t>:</w:t>
      </w:r>
      <w:r>
        <w:rPr>
          <w:rFonts w:ascii="Inter" w:hAnsi="Inter" w:cs="Tahoma"/>
        </w:rPr>
        <w:tab/>
      </w:r>
      <w:r w:rsidRPr="00701B0B">
        <w:rPr>
          <w:rFonts w:ascii="Inter" w:hAnsi="Inter" w:cs="Tahoma"/>
        </w:rPr>
        <w:t>46747885</w:t>
      </w:r>
    </w:p>
    <w:p w14:paraId="1B2387FD" w14:textId="77777777" w:rsidR="00B620E2" w:rsidRPr="00701B0B" w:rsidRDefault="00B620E2" w:rsidP="00B620E2">
      <w:pPr>
        <w:tabs>
          <w:tab w:val="left" w:pos="2268"/>
        </w:tabs>
        <w:adjustRightInd w:val="0"/>
        <w:rPr>
          <w:rFonts w:ascii="Inter" w:hAnsi="Inter" w:cs="Tahoma"/>
        </w:rPr>
      </w:pPr>
      <w:r w:rsidRPr="00701B0B">
        <w:rPr>
          <w:rFonts w:ascii="Inter" w:hAnsi="Inter" w:cs="Tahoma"/>
        </w:rPr>
        <w:t>DIČ:</w:t>
      </w:r>
      <w:r>
        <w:rPr>
          <w:rFonts w:ascii="Inter" w:hAnsi="Inter" w:cs="Tahoma"/>
        </w:rPr>
        <w:tab/>
      </w:r>
      <w:r w:rsidRPr="00701B0B">
        <w:rPr>
          <w:rFonts w:ascii="Inter" w:hAnsi="Inter" w:cs="Tahoma"/>
        </w:rPr>
        <w:t>CZ46747885</w:t>
      </w:r>
    </w:p>
    <w:p w14:paraId="3D24BB6B" w14:textId="77777777" w:rsidR="00B620E2" w:rsidRPr="00701B0B" w:rsidRDefault="00B620E2" w:rsidP="00B620E2">
      <w:pPr>
        <w:tabs>
          <w:tab w:val="left" w:pos="2268"/>
        </w:tabs>
        <w:adjustRightInd w:val="0"/>
        <w:rPr>
          <w:rFonts w:ascii="Inter" w:hAnsi="Inter" w:cs="Tahoma"/>
        </w:rPr>
      </w:pPr>
      <w:r>
        <w:rPr>
          <w:rFonts w:ascii="Inter" w:hAnsi="Inter" w:cs="Tahoma"/>
        </w:rPr>
        <w:t>b</w:t>
      </w:r>
      <w:r w:rsidRPr="00701B0B">
        <w:rPr>
          <w:rFonts w:ascii="Inter" w:hAnsi="Inter" w:cs="Tahoma"/>
        </w:rPr>
        <w:t>ankovní spojení:</w:t>
      </w:r>
      <w:r>
        <w:rPr>
          <w:rFonts w:ascii="Inter" w:hAnsi="Inter" w:cs="Tahoma"/>
        </w:rPr>
        <w:tab/>
      </w:r>
      <w:r w:rsidRPr="00701B0B">
        <w:rPr>
          <w:rFonts w:ascii="Inter" w:hAnsi="Inter" w:cs="Tahoma"/>
        </w:rPr>
        <w:t>Československá obchodní banka, a.s., pobočka Liberec</w:t>
      </w:r>
    </w:p>
    <w:p w14:paraId="4536CECA" w14:textId="77777777" w:rsidR="00B620E2" w:rsidRPr="00701B0B" w:rsidRDefault="00B620E2" w:rsidP="00B620E2">
      <w:pPr>
        <w:tabs>
          <w:tab w:val="left" w:pos="2268"/>
        </w:tabs>
        <w:adjustRightInd w:val="0"/>
        <w:rPr>
          <w:rFonts w:ascii="Inter" w:hAnsi="Inter" w:cs="Tahoma"/>
        </w:rPr>
      </w:pPr>
      <w:r>
        <w:rPr>
          <w:rFonts w:ascii="Inter" w:hAnsi="Inter" w:cs="Tahoma"/>
        </w:rPr>
        <w:t>ú</w:t>
      </w:r>
      <w:r w:rsidRPr="00701B0B">
        <w:rPr>
          <w:rFonts w:ascii="Inter" w:hAnsi="Inter" w:cs="Tahoma"/>
        </w:rPr>
        <w:t>čet číslo:</w:t>
      </w:r>
      <w:r>
        <w:rPr>
          <w:rFonts w:ascii="Inter" w:hAnsi="Inter" w:cs="Tahoma"/>
        </w:rPr>
        <w:tab/>
      </w:r>
      <w:r w:rsidRPr="00701B0B">
        <w:rPr>
          <w:rFonts w:ascii="Inter" w:hAnsi="Inter" w:cs="Tahoma"/>
        </w:rPr>
        <w:t xml:space="preserve">305806603/0300  </w:t>
      </w:r>
    </w:p>
    <w:p w14:paraId="62A7E9D5" w14:textId="5DBC646E" w:rsidR="00B620E2" w:rsidRPr="00952E45" w:rsidRDefault="00B620E2" w:rsidP="005B7019">
      <w:pPr>
        <w:pStyle w:val="Zkladntext"/>
        <w:tabs>
          <w:tab w:val="left" w:pos="2268"/>
        </w:tabs>
        <w:ind w:left="2268" w:hanging="2268"/>
        <w:rPr>
          <w:rFonts w:ascii="Inter" w:hAnsi="Inter" w:cs="Tahoma"/>
          <w:lang w:val="cs-CZ"/>
        </w:rPr>
      </w:pPr>
      <w:r w:rsidRPr="00952E45">
        <w:rPr>
          <w:rFonts w:ascii="Inter" w:hAnsi="Inter" w:cs="Tahoma"/>
        </w:rPr>
        <w:t>zastoupena:</w:t>
      </w:r>
      <w:r>
        <w:rPr>
          <w:rFonts w:ascii="Inter" w:hAnsi="Inter" w:cs="Tahoma"/>
        </w:rPr>
        <w:tab/>
      </w:r>
      <w:r w:rsidR="005B7019" w:rsidRPr="005B7019">
        <w:rPr>
          <w:rFonts w:ascii="Inter" w:hAnsi="Inter" w:cs="Tahoma"/>
          <w:lang w:val="cs-CZ"/>
        </w:rPr>
        <w:t>doc. RNDr. Miroslav Brzezina, CSc., dr. h. c.</w:t>
      </w:r>
      <w:r w:rsidR="005B7019" w:rsidRPr="005B7019">
        <w:rPr>
          <w:rFonts w:ascii="Inter" w:hAnsi="Inter" w:cs="Tahoma"/>
          <w:lang w:val="cs-CZ"/>
        </w:rPr>
        <w:t>, rektorem Technické univerzity v Liberci</w:t>
      </w:r>
    </w:p>
    <w:p w14:paraId="5EC27109" w14:textId="77777777" w:rsidR="00B620E2" w:rsidRPr="00FA2C4D" w:rsidRDefault="00B620E2" w:rsidP="00B620E2">
      <w:pPr>
        <w:tabs>
          <w:tab w:val="left" w:pos="2268"/>
        </w:tabs>
        <w:adjustRightInd w:val="0"/>
        <w:rPr>
          <w:rFonts w:ascii="Inter" w:hAnsi="Inter" w:cs="Tahoma"/>
        </w:rPr>
      </w:pPr>
      <w:r>
        <w:rPr>
          <w:rFonts w:ascii="Inter" w:hAnsi="Inter" w:cs="Tahoma"/>
        </w:rPr>
        <w:t>o</w:t>
      </w:r>
      <w:r w:rsidRPr="00701B0B">
        <w:rPr>
          <w:rFonts w:ascii="Inter" w:hAnsi="Inter" w:cs="Tahoma"/>
        </w:rPr>
        <w:t>dpovědná osoba:</w:t>
      </w:r>
      <w:r>
        <w:rPr>
          <w:rFonts w:ascii="Inter" w:hAnsi="Inter" w:cs="Tahoma"/>
        </w:rPr>
        <w:tab/>
        <w:t>doc. JUDr. Ing. Bohumil Poláček, Ph.D., MBA, LLM,</w:t>
      </w:r>
      <w:r>
        <w:rPr>
          <w:rFonts w:ascii="Inter" w:hAnsi="Inter" w:cs="Tahoma"/>
        </w:rPr>
        <w:br/>
      </w:r>
      <w:r>
        <w:rPr>
          <w:rFonts w:ascii="Inter" w:hAnsi="Inter" w:cs="Tahoma"/>
        </w:rPr>
        <w:tab/>
        <w:t>vedoucí Centra oceňování majet</w:t>
      </w:r>
      <w:r w:rsidRPr="00FA2C4D">
        <w:rPr>
          <w:rFonts w:ascii="Inter" w:hAnsi="Inter" w:cs="Tahoma"/>
        </w:rPr>
        <w:t xml:space="preserve">ku </w:t>
      </w:r>
    </w:p>
    <w:p w14:paraId="64774C3F" w14:textId="77777777" w:rsidR="00B620E2" w:rsidRPr="00FA2C4D" w:rsidRDefault="00B620E2" w:rsidP="00B620E2">
      <w:pPr>
        <w:tabs>
          <w:tab w:val="left" w:pos="2268"/>
        </w:tabs>
        <w:adjustRightInd w:val="0"/>
        <w:rPr>
          <w:rFonts w:ascii="Inter" w:hAnsi="Inter" w:cs="Tahoma"/>
        </w:rPr>
      </w:pPr>
      <w:r w:rsidRPr="00FA2C4D">
        <w:rPr>
          <w:rFonts w:ascii="Inter" w:hAnsi="Inter" w:cs="Tahoma"/>
        </w:rPr>
        <w:t>interní číslo smlouvy (není totožné s variabilním symbolem): ……….</w:t>
      </w:r>
    </w:p>
    <w:p w14:paraId="4FB4EEE4" w14:textId="77777777" w:rsidR="00B620E2" w:rsidRPr="00FA2C4D" w:rsidRDefault="00B620E2" w:rsidP="00B620E2">
      <w:pPr>
        <w:tabs>
          <w:tab w:val="left" w:pos="2268"/>
        </w:tabs>
        <w:adjustRightInd w:val="0"/>
        <w:rPr>
          <w:rFonts w:ascii="Inter" w:hAnsi="Inter" w:cs="Tahoma"/>
        </w:rPr>
      </w:pPr>
      <w:r w:rsidRPr="00FA2C4D">
        <w:rPr>
          <w:rFonts w:ascii="Inter" w:hAnsi="Inter" w:cs="Tahoma"/>
        </w:rPr>
        <w:t>(dále jen „</w:t>
      </w:r>
      <w:r w:rsidRPr="00FA2C4D">
        <w:rPr>
          <w:rFonts w:ascii="Inter" w:hAnsi="Inter" w:cs="Tahoma"/>
          <w:b/>
          <w:bCs/>
        </w:rPr>
        <w:t>TUL</w:t>
      </w:r>
      <w:r w:rsidRPr="00FA2C4D">
        <w:rPr>
          <w:rFonts w:ascii="Inter" w:hAnsi="Inter" w:cs="Tahoma"/>
        </w:rPr>
        <w:t>“</w:t>
      </w:r>
      <w:r w:rsidRPr="00FA2C4D">
        <w:rPr>
          <w:rFonts w:ascii="Inter" w:hAnsi="Inter" w:cs="Tahoma"/>
          <w:bCs/>
        </w:rPr>
        <w:t>)</w:t>
      </w:r>
    </w:p>
    <w:p w14:paraId="6B3D9125" w14:textId="77777777" w:rsidR="00B620E2" w:rsidRPr="00FA2C4D" w:rsidRDefault="00B620E2" w:rsidP="00B620E2">
      <w:pPr>
        <w:tabs>
          <w:tab w:val="left" w:pos="2977"/>
        </w:tabs>
        <w:adjustRightInd w:val="0"/>
        <w:spacing w:before="720"/>
        <w:rPr>
          <w:rFonts w:ascii="Inter" w:hAnsi="Inter" w:cs="Tahoma"/>
          <w:color w:val="FF0000"/>
        </w:rPr>
      </w:pPr>
      <w:r w:rsidRPr="00FA2C4D">
        <w:rPr>
          <w:rFonts w:ascii="Inter" w:hAnsi="Inter" w:cs="Tahoma"/>
        </w:rPr>
        <w:t>Titul, jméno, příjmení:</w:t>
      </w:r>
      <w:r w:rsidRPr="00FA2C4D">
        <w:rPr>
          <w:rFonts w:ascii="Inter" w:hAnsi="Inter" w:cs="Tahoma"/>
        </w:rPr>
        <w:tab/>
      </w:r>
    </w:p>
    <w:p w14:paraId="33F61CFF" w14:textId="77777777" w:rsidR="00B620E2" w:rsidRPr="00FA2C4D" w:rsidRDefault="00B620E2" w:rsidP="00B620E2">
      <w:pPr>
        <w:tabs>
          <w:tab w:val="left" w:pos="2977"/>
        </w:tabs>
        <w:adjustRightInd w:val="0"/>
        <w:rPr>
          <w:rFonts w:ascii="Inter" w:hAnsi="Inter" w:cs="Tahoma"/>
        </w:rPr>
      </w:pPr>
      <w:r w:rsidRPr="00FA2C4D">
        <w:rPr>
          <w:rFonts w:ascii="Inter" w:hAnsi="Inter" w:cs="Tahoma"/>
        </w:rPr>
        <w:t>datum narození:</w:t>
      </w:r>
      <w:r w:rsidRPr="00FA2C4D">
        <w:rPr>
          <w:rFonts w:ascii="Inter" w:hAnsi="Inter" w:cs="Tahoma"/>
        </w:rPr>
        <w:tab/>
      </w:r>
    </w:p>
    <w:p w14:paraId="03C3337D" w14:textId="77777777" w:rsidR="00B620E2" w:rsidRPr="00FA2C4D" w:rsidRDefault="00B620E2" w:rsidP="00B620E2">
      <w:pPr>
        <w:tabs>
          <w:tab w:val="left" w:pos="2977"/>
        </w:tabs>
        <w:adjustRightInd w:val="0"/>
        <w:rPr>
          <w:rFonts w:ascii="Inter" w:hAnsi="Inter" w:cs="Tahoma"/>
        </w:rPr>
      </w:pPr>
      <w:r w:rsidRPr="00FA2C4D">
        <w:rPr>
          <w:rFonts w:ascii="Inter" w:hAnsi="Inter" w:cs="Tahoma"/>
        </w:rPr>
        <w:t>rodné číslo:</w:t>
      </w:r>
      <w:r w:rsidRPr="00FA2C4D">
        <w:rPr>
          <w:rFonts w:ascii="Inter" w:hAnsi="Inter" w:cs="Tahoma"/>
        </w:rPr>
        <w:tab/>
      </w:r>
    </w:p>
    <w:p w14:paraId="729AF582" w14:textId="77777777" w:rsidR="00B620E2" w:rsidRPr="00FA2C4D" w:rsidRDefault="00B620E2" w:rsidP="00B620E2">
      <w:pPr>
        <w:tabs>
          <w:tab w:val="left" w:pos="2977"/>
        </w:tabs>
        <w:adjustRightInd w:val="0"/>
        <w:rPr>
          <w:rFonts w:ascii="Inter" w:hAnsi="Inter" w:cs="Tahoma"/>
        </w:rPr>
      </w:pPr>
      <w:r w:rsidRPr="00FA2C4D">
        <w:rPr>
          <w:rFonts w:ascii="Inter" w:hAnsi="Inter" w:cs="Tahoma"/>
        </w:rPr>
        <w:t>adresa trvalého bydliště:</w:t>
      </w:r>
      <w:r w:rsidRPr="00FA2C4D">
        <w:rPr>
          <w:rFonts w:ascii="Inter" w:hAnsi="Inter" w:cs="Tahoma"/>
        </w:rPr>
        <w:tab/>
        <w:t xml:space="preserve"> </w:t>
      </w:r>
    </w:p>
    <w:p w14:paraId="3DC977C9" w14:textId="77777777" w:rsidR="00B620E2" w:rsidRPr="00FA2C4D" w:rsidRDefault="00B620E2" w:rsidP="00B620E2">
      <w:pPr>
        <w:tabs>
          <w:tab w:val="left" w:pos="2977"/>
        </w:tabs>
        <w:adjustRightInd w:val="0"/>
        <w:rPr>
          <w:rFonts w:ascii="Inter" w:hAnsi="Inter" w:cs="Tahoma"/>
        </w:rPr>
      </w:pPr>
      <w:r w:rsidRPr="00FA2C4D">
        <w:rPr>
          <w:rFonts w:ascii="Inter" w:hAnsi="Inter" w:cs="Tahoma"/>
        </w:rPr>
        <w:t>(dále jen „</w:t>
      </w:r>
      <w:r w:rsidRPr="00FA2C4D">
        <w:rPr>
          <w:rFonts w:ascii="Inter" w:hAnsi="Inter" w:cs="Tahoma"/>
          <w:b/>
          <w:bCs/>
        </w:rPr>
        <w:t>Účastník</w:t>
      </w:r>
      <w:r w:rsidRPr="00FA2C4D">
        <w:rPr>
          <w:rFonts w:ascii="Inter" w:hAnsi="Inter" w:cs="Tahoma"/>
          <w:bCs/>
        </w:rPr>
        <w:t>“</w:t>
      </w:r>
      <w:r w:rsidRPr="00FA2C4D">
        <w:rPr>
          <w:rFonts w:ascii="Inter" w:hAnsi="Inter" w:cs="Tahoma"/>
        </w:rPr>
        <w:t>),</w:t>
      </w:r>
    </w:p>
    <w:p w14:paraId="750521B9" w14:textId="77777777" w:rsidR="00B620E2" w:rsidRPr="00FA2C4D" w:rsidRDefault="00B620E2" w:rsidP="00B620E2">
      <w:pPr>
        <w:adjustRightInd w:val="0"/>
        <w:rPr>
          <w:rFonts w:ascii="Inter" w:hAnsi="Inter" w:cs="Tahoma"/>
        </w:rPr>
      </w:pPr>
    </w:p>
    <w:p w14:paraId="60EBAFE4" w14:textId="77777777" w:rsidR="00B620E2" w:rsidRPr="00FA2C4D" w:rsidRDefault="00B620E2" w:rsidP="00B620E2">
      <w:pPr>
        <w:adjustRightInd w:val="0"/>
        <w:jc w:val="both"/>
        <w:rPr>
          <w:rFonts w:ascii="Inter" w:hAnsi="Inter" w:cs="Tahoma"/>
        </w:rPr>
      </w:pPr>
      <w:r w:rsidRPr="00FA2C4D">
        <w:rPr>
          <w:rFonts w:ascii="Inter" w:hAnsi="Inter" w:cs="Tahoma"/>
        </w:rPr>
        <w:t>mezi sebou uzavírají tuto smlouvu o studiu v programu celoživotního vzdělávání (dále jen „</w:t>
      </w:r>
      <w:r w:rsidRPr="00FA2C4D">
        <w:rPr>
          <w:rFonts w:ascii="Inter" w:hAnsi="Inter" w:cs="Tahoma"/>
          <w:b/>
          <w:bCs/>
        </w:rPr>
        <w:t>S</w:t>
      </w:r>
      <w:r w:rsidRPr="00FA2C4D">
        <w:rPr>
          <w:rFonts w:ascii="Inter" w:hAnsi="Inter" w:cs="Tahoma"/>
          <w:b/>
        </w:rPr>
        <w:t>mlouva</w:t>
      </w:r>
      <w:r w:rsidRPr="00FA2C4D">
        <w:rPr>
          <w:rFonts w:ascii="Inter" w:hAnsi="Inter" w:cs="Tahoma"/>
          <w:bCs/>
        </w:rPr>
        <w:t>“</w:t>
      </w:r>
      <w:r w:rsidRPr="00FA2C4D">
        <w:rPr>
          <w:rFonts w:ascii="Inter" w:hAnsi="Inter" w:cs="Tahoma"/>
        </w:rPr>
        <w:t>):</w:t>
      </w:r>
    </w:p>
    <w:p w14:paraId="3A73C9BF" w14:textId="5E0D0819" w:rsidR="00701B0B" w:rsidRPr="00701B0B" w:rsidRDefault="00100CF9" w:rsidP="00100CF9">
      <w:pPr>
        <w:pStyle w:val="Nadpis1"/>
      </w:pPr>
      <w:r>
        <w:br/>
        <w:t>P</w:t>
      </w:r>
      <w:r w:rsidR="00701B0B" w:rsidRPr="00701B0B">
        <w:t>ředmět smlouvy</w:t>
      </w:r>
    </w:p>
    <w:p w14:paraId="770B9884" w14:textId="141E5CC4" w:rsidR="00701B0B" w:rsidRPr="00701B0B" w:rsidRDefault="00701B0B" w:rsidP="00100CF9">
      <w:pPr>
        <w:pStyle w:val="Nadpis2"/>
      </w:pPr>
      <w:r w:rsidRPr="00701B0B">
        <w:t xml:space="preserve">Předmětem </w:t>
      </w:r>
      <w:r w:rsidR="00EA0774">
        <w:t>S</w:t>
      </w:r>
      <w:r w:rsidRPr="00701B0B">
        <w:t xml:space="preserve">mlouvy je stanovení vzájemných práv a povinností TUL a </w:t>
      </w:r>
      <w:r w:rsidR="00046556">
        <w:t>Ú</w:t>
      </w:r>
      <w:r w:rsidRPr="00701B0B">
        <w:t xml:space="preserve">častníka </w:t>
      </w:r>
      <w:r w:rsidR="000E6916">
        <w:t xml:space="preserve">studia v programu celoživotního vzdělávání </w:t>
      </w:r>
      <w:r w:rsidR="008862F4">
        <w:t>(dále jen „</w:t>
      </w:r>
      <w:r w:rsidRPr="008862F4">
        <w:rPr>
          <w:b/>
          <w:bCs/>
        </w:rPr>
        <w:t>CŽV</w:t>
      </w:r>
      <w:r w:rsidR="008862F4">
        <w:t>“)</w:t>
      </w:r>
      <w:r w:rsidRPr="00701B0B">
        <w:t>, jakož i stanovení podmínek pro zahájení a průběh studia v kurzech příslušného studijního programu.</w:t>
      </w:r>
    </w:p>
    <w:p w14:paraId="3A5CF001" w14:textId="7C826D02" w:rsidR="00755791" w:rsidRPr="00100CF9" w:rsidRDefault="00701B0B" w:rsidP="00100CF9">
      <w:pPr>
        <w:pStyle w:val="Nadpis2"/>
      </w:pPr>
      <w:bookmarkStart w:id="0" w:name="_Ref165982447"/>
      <w:r w:rsidRPr="00701B0B">
        <w:t xml:space="preserve">Na základě platného uzavření této </w:t>
      </w:r>
      <w:r w:rsidR="00046556">
        <w:t>S</w:t>
      </w:r>
      <w:r w:rsidRPr="00701B0B">
        <w:t xml:space="preserve">mlouvy </w:t>
      </w:r>
      <w:r w:rsidR="0051449F">
        <w:t xml:space="preserve">a za podmínek v této Smlouvě stanovených, </w:t>
      </w:r>
      <w:r w:rsidRPr="00701B0B">
        <w:t xml:space="preserve">je </w:t>
      </w:r>
      <w:r w:rsidR="00046556">
        <w:t>Ú</w:t>
      </w:r>
      <w:r w:rsidRPr="00701B0B">
        <w:t>častník CŽV oprávněn na TUL absolvovat kurz CŽV v</w:t>
      </w:r>
      <w:r w:rsidR="00D15221">
        <w:t>e</w:t>
      </w:r>
      <w:r w:rsidRPr="00701B0B">
        <w:t xml:space="preserve"> studijní</w:t>
      </w:r>
      <w:r w:rsidR="0028047C">
        <w:t>m</w:t>
      </w:r>
      <w:r w:rsidRPr="00701B0B">
        <w:t xml:space="preserve"> program</w:t>
      </w:r>
      <w:r w:rsidR="0028047C">
        <w:t>u</w:t>
      </w:r>
      <w:r w:rsidR="00755791">
        <w:t>:</w:t>
      </w:r>
      <w:r w:rsidR="00100CF9">
        <w:t xml:space="preserve"> </w:t>
      </w:r>
      <w:r w:rsidR="00755791" w:rsidRPr="00100CF9">
        <w:rPr>
          <w:b/>
        </w:rPr>
        <w:t xml:space="preserve">Specializační </w:t>
      </w:r>
      <w:r w:rsidR="00100CF9">
        <w:rPr>
          <w:b/>
        </w:rPr>
        <w:t xml:space="preserve">čtyřsemestrální </w:t>
      </w:r>
      <w:r w:rsidR="00755791" w:rsidRPr="00100CF9">
        <w:rPr>
          <w:b/>
        </w:rPr>
        <w:t>kombinované studium Oceňování obchodních závodů (podniků)</w:t>
      </w:r>
      <w:r w:rsidR="00755791" w:rsidRPr="00100CF9">
        <w:t>.</w:t>
      </w:r>
      <w:bookmarkEnd w:id="0"/>
    </w:p>
    <w:p w14:paraId="0594D67A" w14:textId="7A38B8EB" w:rsidR="00701B0B" w:rsidRPr="00701B0B" w:rsidRDefault="00100CF9" w:rsidP="00100CF9">
      <w:pPr>
        <w:pStyle w:val="Nadpis1"/>
      </w:pPr>
      <w:r>
        <w:lastRenderedPageBreak/>
        <w:br/>
      </w:r>
      <w:r w:rsidR="00701B0B" w:rsidRPr="00701B0B">
        <w:t>Práva a povinnosti účastníka CŽV</w:t>
      </w:r>
    </w:p>
    <w:p w14:paraId="7BD660CC" w14:textId="510F5AEE" w:rsidR="00701B0B" w:rsidRPr="00701B0B" w:rsidRDefault="00701B0B" w:rsidP="00100CF9">
      <w:pPr>
        <w:pStyle w:val="Nadpis2"/>
      </w:pPr>
      <w:r w:rsidRPr="00701B0B">
        <w:t xml:space="preserve">Podle § 60 zákona </w:t>
      </w:r>
      <w:r w:rsidR="00A51059">
        <w:t>o vysokých školách,</w:t>
      </w:r>
      <w:r w:rsidRPr="00701B0B">
        <w:t xml:space="preserve"> není </w:t>
      </w:r>
      <w:r w:rsidR="008862F4">
        <w:t>Ú</w:t>
      </w:r>
      <w:r w:rsidRPr="00701B0B">
        <w:t>častník kurz</w:t>
      </w:r>
      <w:r w:rsidR="00A51059">
        <w:t>u</w:t>
      </w:r>
      <w:r w:rsidRPr="00701B0B">
        <w:t xml:space="preserve"> CŽV studentem </w:t>
      </w:r>
      <w:r w:rsidR="00D52187">
        <w:t xml:space="preserve">vysoké školy </w:t>
      </w:r>
      <w:r w:rsidRPr="00701B0B">
        <w:t>ve smyslu citovaného zákona.</w:t>
      </w:r>
    </w:p>
    <w:p w14:paraId="301F4852" w14:textId="77777777" w:rsidR="00B620E2" w:rsidRPr="00FA2C4D" w:rsidRDefault="00B620E2" w:rsidP="00B620E2">
      <w:pPr>
        <w:pStyle w:val="Nadpis2"/>
      </w:pPr>
      <w:r w:rsidRPr="00FA2C4D">
        <w:t xml:space="preserve">Podmínky pro absolvování kurzu CŽV ve výše uvedeném studijním programu se řídí zejména </w:t>
      </w:r>
      <w:r w:rsidRPr="00FA2C4D">
        <w:rPr>
          <w:bCs/>
        </w:rPr>
        <w:t>Studijním a zkušebním řádem TUL</w:t>
      </w:r>
      <w:r w:rsidRPr="00FA2C4D">
        <w:t xml:space="preserve"> a </w:t>
      </w:r>
      <w:r w:rsidRPr="00FA2C4D">
        <w:rPr>
          <w:bCs/>
        </w:rPr>
        <w:t xml:space="preserve">Řádem celoživotního vzdělávání TUL, které jsou dostupné </w:t>
      </w:r>
      <w:hyperlink r:id="rId11" w:history="1">
        <w:r w:rsidRPr="00FA2C4D">
          <w:rPr>
            <w:rStyle w:val="Hypertextovodkaz"/>
            <w:bCs/>
          </w:rPr>
          <w:t>na webových stránkách univerzity</w:t>
        </w:r>
      </w:hyperlink>
      <w:r w:rsidRPr="00FA2C4D">
        <w:t>.</w:t>
      </w:r>
    </w:p>
    <w:p w14:paraId="76D52252" w14:textId="51CE9464" w:rsidR="00B34431" w:rsidRDefault="00B34431" w:rsidP="00B34431">
      <w:pPr>
        <w:pStyle w:val="Nadpis2"/>
      </w:pPr>
      <w:r>
        <w:t xml:space="preserve">Účastník bude přijat do programu CŽV na základě splnění podmínek uvedených ve Směrnici děkana EF TUL Podmínky přijímacího řízení do programů CŽV. </w:t>
      </w:r>
    </w:p>
    <w:p w14:paraId="3787FC8E" w14:textId="438CDB10" w:rsidR="00701B0B" w:rsidRDefault="00701B0B" w:rsidP="00100CF9">
      <w:pPr>
        <w:pStyle w:val="Nadpis2"/>
      </w:pPr>
      <w:r w:rsidRPr="00701B0B">
        <w:t xml:space="preserve">Účastník CŽV je oprávněn po dobu studia, pouze pro účely této </w:t>
      </w:r>
      <w:r w:rsidR="00B069B8">
        <w:t>S</w:t>
      </w:r>
      <w:r w:rsidRPr="00701B0B">
        <w:t>mlouvy, užívat zařízení TUL</w:t>
      </w:r>
      <w:r w:rsidR="00B1607E">
        <w:t xml:space="preserve"> </w:t>
      </w:r>
      <w:r w:rsidRPr="00701B0B">
        <w:t xml:space="preserve">ve stejném rozsahu a za stejných podmínek jako student TUL. Je povinen přitom dodržovat předpisy </w:t>
      </w:r>
      <w:r w:rsidR="008E30D5">
        <w:t>požární ochrany</w:t>
      </w:r>
      <w:r w:rsidRPr="00701B0B">
        <w:t xml:space="preserve"> a BOZP, jakož i pravidla stanovená pro provoz využívaných zařízení. Pokud </w:t>
      </w:r>
      <w:r w:rsidR="00B069B8">
        <w:t>Ú</w:t>
      </w:r>
      <w:r w:rsidRPr="00701B0B">
        <w:t>častník porušením svých povinností v této souvislosti způsobí TUL škodu na majetku, odpovídá</w:t>
      </w:r>
      <w:r w:rsidR="00B1607E">
        <w:t xml:space="preserve"> </w:t>
      </w:r>
      <w:r w:rsidRPr="00701B0B">
        <w:t xml:space="preserve">za </w:t>
      </w:r>
      <w:r w:rsidR="00B069B8">
        <w:t>ni</w:t>
      </w:r>
      <w:r w:rsidR="009D49BE">
        <w:t xml:space="preserve"> dle </w:t>
      </w:r>
      <w:r w:rsidR="0051449F">
        <w:t>občanského zákoníku</w:t>
      </w:r>
      <w:r w:rsidRPr="00701B0B">
        <w:t>.</w:t>
      </w:r>
    </w:p>
    <w:p w14:paraId="0DBCC6B6" w14:textId="1021B7AF" w:rsidR="00B620E2" w:rsidRPr="00B620E2" w:rsidRDefault="00B620E2" w:rsidP="00B620E2">
      <w:pPr>
        <w:pStyle w:val="Nadpis2"/>
      </w:pPr>
      <w:r w:rsidRPr="00FA2C4D">
        <w:t>Standardní délka specializačního kombinované studia je čtyři semestry, resp. dva roky. Maximální délka studia je dána dobou platnosti akreditace programu CŽV. Přerušení studia je možné pouze v odůvodněných případech, nejvýše jednou během průběhu vzdělávání, a to nejvýše na dobu jednoho roku.</w:t>
      </w:r>
    </w:p>
    <w:p w14:paraId="558E47D5" w14:textId="757B2C26" w:rsidR="00701B0B" w:rsidRPr="00701B0B" w:rsidRDefault="00100CF9" w:rsidP="00100CF9">
      <w:pPr>
        <w:pStyle w:val="Nadpis1"/>
      </w:pPr>
      <w:r>
        <w:br/>
      </w:r>
      <w:bookmarkStart w:id="1" w:name="_Ref155861005"/>
      <w:r w:rsidR="00701B0B" w:rsidRPr="00701B0B">
        <w:t>Cena a platební podmínky</w:t>
      </w:r>
      <w:bookmarkEnd w:id="1"/>
    </w:p>
    <w:p w14:paraId="53DF162A" w14:textId="784AB6B4" w:rsidR="00701B0B" w:rsidRPr="00E151B0" w:rsidRDefault="00701B0B" w:rsidP="00100CF9">
      <w:pPr>
        <w:pStyle w:val="Nadpis2"/>
      </w:pPr>
      <w:bookmarkStart w:id="2" w:name="_Ref155860819"/>
      <w:r w:rsidRPr="00E151B0">
        <w:t>Vzdělávání v kurz</w:t>
      </w:r>
      <w:r w:rsidR="00710454">
        <w:t>u</w:t>
      </w:r>
      <w:r w:rsidRPr="00E151B0">
        <w:t xml:space="preserve"> CŽV je poskytováno za úplatu. Poplatek za studium kurz</w:t>
      </w:r>
      <w:r w:rsidR="00710454">
        <w:t>u</w:t>
      </w:r>
      <w:r w:rsidRPr="00E151B0">
        <w:t xml:space="preserve"> CŽV </w:t>
      </w:r>
      <w:r w:rsidR="0011474B" w:rsidRPr="00B620E2">
        <w:t xml:space="preserve">(dále jen „kurzovné“) </w:t>
      </w:r>
      <w:r w:rsidRPr="00E151B0">
        <w:t>je stanoven dohodou v souladu se zákonem č. 526/1990 Sb., o cenách</w:t>
      </w:r>
      <w:r w:rsidR="00710454">
        <w:t>, ve znění pozdějších předpisů</w:t>
      </w:r>
      <w:r w:rsidRPr="00E151B0">
        <w:t>.</w:t>
      </w:r>
      <w:bookmarkEnd w:id="2"/>
    </w:p>
    <w:p w14:paraId="414DB7B8" w14:textId="3E4DB2A3" w:rsidR="00701B0B" w:rsidRPr="00E151B0" w:rsidRDefault="00701B0B" w:rsidP="00100CF9">
      <w:pPr>
        <w:pStyle w:val="Nadpis2"/>
      </w:pPr>
      <w:r w:rsidRPr="00E151B0">
        <w:t xml:space="preserve">Pro </w:t>
      </w:r>
      <w:r w:rsidR="00090098">
        <w:t>studijní program</w:t>
      </w:r>
      <w:r w:rsidR="000B338B">
        <w:t xml:space="preserve"> </w:t>
      </w:r>
      <w:r w:rsidRPr="00E151B0">
        <w:t xml:space="preserve">CŽV </w:t>
      </w:r>
      <w:r w:rsidR="00B620E2" w:rsidRPr="00B620E2">
        <w:t>uvedený v</w:t>
      </w:r>
      <w:r w:rsidR="00B620E2">
        <w:t xml:space="preserve"> článku</w:t>
      </w:r>
      <w:r w:rsidR="00B620E2">
        <w:rPr>
          <w:b/>
        </w:rPr>
        <w:t xml:space="preserve"> </w:t>
      </w:r>
      <w:r w:rsidR="00B620E2">
        <w:fldChar w:fldCharType="begin"/>
      </w:r>
      <w:r w:rsidR="00B620E2">
        <w:instrText xml:space="preserve"> REF  _Ref165982447 \d " odst. " \h \t \w </w:instrText>
      </w:r>
      <w:r w:rsidR="00B620E2">
        <w:fldChar w:fldCharType="separate"/>
      </w:r>
      <w:r w:rsidR="00B620E2">
        <w:t>I. odst. (2)</w:t>
      </w:r>
      <w:r w:rsidR="00B620E2">
        <w:fldChar w:fldCharType="end"/>
      </w:r>
      <w:r w:rsidR="00B620E2">
        <w:t xml:space="preserve"> této smlouvy</w:t>
      </w:r>
      <w:r w:rsidR="00090098">
        <w:t xml:space="preserve"> </w:t>
      </w:r>
      <w:r w:rsidRPr="00E151B0">
        <w:t>je stanoven</w:t>
      </w:r>
      <w:r w:rsidR="0011474B">
        <w:t>o</w:t>
      </w:r>
      <w:r w:rsidR="000B338B">
        <w:t xml:space="preserve"> </w:t>
      </w:r>
      <w:r w:rsidR="0011474B">
        <w:t xml:space="preserve">kurzovné </w:t>
      </w:r>
      <w:r w:rsidR="000B338B" w:rsidRPr="00B620E2">
        <w:t xml:space="preserve">ve výši </w:t>
      </w:r>
      <w:r w:rsidR="00B620E2" w:rsidRPr="00B620E2">
        <w:rPr>
          <w:b/>
          <w:bCs/>
        </w:rPr>
        <w:t>39</w:t>
      </w:r>
      <w:r w:rsidR="00B620E2">
        <w:rPr>
          <w:b/>
          <w:bCs/>
        </w:rPr>
        <w:t> </w:t>
      </w:r>
      <w:r w:rsidR="00B620E2" w:rsidRPr="00B620E2">
        <w:rPr>
          <w:b/>
          <w:bCs/>
        </w:rPr>
        <w:t>930</w:t>
      </w:r>
      <w:r w:rsidR="00B620E2">
        <w:rPr>
          <w:b/>
          <w:bCs/>
        </w:rPr>
        <w:t> </w:t>
      </w:r>
      <w:r w:rsidR="00B620E2" w:rsidRPr="00B620E2">
        <w:rPr>
          <w:b/>
          <w:bCs/>
        </w:rPr>
        <w:t>Kč</w:t>
      </w:r>
      <w:r w:rsidR="00B620E2">
        <w:rPr>
          <w:bCs/>
        </w:rPr>
        <w:t> </w:t>
      </w:r>
      <w:r w:rsidR="00B620E2" w:rsidRPr="00B620E2">
        <w:rPr>
          <w:bCs/>
        </w:rPr>
        <w:t>vč.</w:t>
      </w:r>
      <w:r w:rsidR="00B620E2">
        <w:rPr>
          <w:bCs/>
        </w:rPr>
        <w:t> </w:t>
      </w:r>
      <w:r w:rsidR="00B620E2" w:rsidRPr="00B620E2">
        <w:rPr>
          <w:bCs/>
        </w:rPr>
        <w:t>DPH (tzn.</w:t>
      </w:r>
      <w:r w:rsidR="00B620E2">
        <w:rPr>
          <w:bCs/>
        </w:rPr>
        <w:t> </w:t>
      </w:r>
      <w:r w:rsidR="00B620E2" w:rsidRPr="00B620E2">
        <w:rPr>
          <w:bCs/>
        </w:rPr>
        <w:t>33</w:t>
      </w:r>
      <w:r w:rsidR="00B620E2">
        <w:rPr>
          <w:bCs/>
        </w:rPr>
        <w:t> </w:t>
      </w:r>
      <w:r w:rsidR="00B620E2" w:rsidRPr="00B620E2">
        <w:rPr>
          <w:bCs/>
        </w:rPr>
        <w:t>000</w:t>
      </w:r>
      <w:r w:rsidR="00B620E2">
        <w:rPr>
          <w:bCs/>
        </w:rPr>
        <w:t> </w:t>
      </w:r>
      <w:r w:rsidR="00B620E2" w:rsidRPr="00B620E2">
        <w:rPr>
          <w:bCs/>
        </w:rPr>
        <w:t>Kč bez DPH)</w:t>
      </w:r>
      <w:r w:rsidR="00090098" w:rsidRPr="00B620E2">
        <w:rPr>
          <w:bCs/>
        </w:rPr>
        <w:t xml:space="preserve"> za celé studium</w:t>
      </w:r>
      <w:r w:rsidR="000B338B" w:rsidRPr="00B620E2">
        <w:t>.</w:t>
      </w:r>
    </w:p>
    <w:p w14:paraId="7F83378B" w14:textId="22C409A1" w:rsidR="00E151B0" w:rsidRPr="00090098" w:rsidRDefault="00573975" w:rsidP="00090098">
      <w:pPr>
        <w:pStyle w:val="Nadpis2"/>
      </w:pPr>
      <w:bookmarkStart w:id="3" w:name="_Ref155860821"/>
      <w:r>
        <w:t>Kurzovné</w:t>
      </w:r>
      <w:r w:rsidR="00701B0B" w:rsidRPr="00E151B0">
        <w:t xml:space="preserve"> musí být uhrazen</w:t>
      </w:r>
      <w:r>
        <w:t>o</w:t>
      </w:r>
      <w:r w:rsidR="0051449F">
        <w:t xml:space="preserve"> jednorázově</w:t>
      </w:r>
      <w:r w:rsidR="00E151B0" w:rsidRPr="00E151B0">
        <w:t xml:space="preserve"> </w:t>
      </w:r>
      <w:r w:rsidR="00701B0B" w:rsidRPr="00E151B0">
        <w:t xml:space="preserve">do </w:t>
      </w:r>
      <w:r w:rsidR="0011474B">
        <w:t>15 dnů od podepsání této smlouvy</w:t>
      </w:r>
      <w:r w:rsidR="00701B0B" w:rsidRPr="00E151B0">
        <w:t xml:space="preserve"> </w:t>
      </w:r>
      <w:r w:rsidR="00701B0B" w:rsidRPr="0011474B">
        <w:t xml:space="preserve">na </w:t>
      </w:r>
      <w:bookmarkStart w:id="4" w:name="_Hlk156981147"/>
      <w:r w:rsidR="00701B0B" w:rsidRPr="0011474B">
        <w:t>úč</w:t>
      </w:r>
      <w:r w:rsidR="0011474B" w:rsidRPr="0011474B">
        <w:t>e</w:t>
      </w:r>
      <w:r w:rsidR="00701B0B" w:rsidRPr="0011474B">
        <w:t>t</w:t>
      </w:r>
      <w:r w:rsidR="0011474B" w:rsidRPr="0011474B">
        <w:t xml:space="preserve"> fakulty č.:</w:t>
      </w:r>
      <w:r w:rsidR="00701B0B" w:rsidRPr="00E151B0">
        <w:rPr>
          <w:b/>
        </w:rPr>
        <w:t xml:space="preserve"> </w:t>
      </w:r>
      <w:r w:rsidR="00701B0B" w:rsidRPr="00502042">
        <w:rPr>
          <w:b/>
        </w:rPr>
        <w:t>305806603/0300</w:t>
      </w:r>
      <w:r w:rsidR="00701B0B" w:rsidRPr="00E151B0">
        <w:t xml:space="preserve">, variabilní symbol </w:t>
      </w:r>
      <w:r w:rsidR="00502042" w:rsidRPr="00502042">
        <w:rPr>
          <w:b/>
        </w:rPr>
        <w:t>3910</w:t>
      </w:r>
      <w:r w:rsidR="00701B0B" w:rsidRPr="00E151B0">
        <w:t xml:space="preserve">, </w:t>
      </w:r>
      <w:r w:rsidR="00701B0B" w:rsidRPr="009D21D8">
        <w:t xml:space="preserve">specifický symbol: </w:t>
      </w:r>
      <w:bookmarkEnd w:id="3"/>
      <w:bookmarkEnd w:id="4"/>
      <w:r w:rsidR="009D21D8" w:rsidRPr="009D21D8">
        <w:t xml:space="preserve">oborové číslo uchazeče z elektronické přihlášky, do poznámky pro příjemce je třeba uvést jméno a příjmení účastníka CŽV. </w:t>
      </w:r>
      <w:r w:rsidR="00502042" w:rsidRPr="00502042">
        <w:t>Údaje k platbě budou prostřednictvím IS</w:t>
      </w:r>
      <w:r w:rsidR="00502042">
        <w:t> </w:t>
      </w:r>
      <w:r w:rsidR="00502042" w:rsidRPr="00502042">
        <w:t xml:space="preserve">STAG vygenerovány po oboustranném podpisu </w:t>
      </w:r>
      <w:r w:rsidR="0011474B">
        <w:t xml:space="preserve">této </w:t>
      </w:r>
      <w:r w:rsidR="00502042" w:rsidRPr="00502042">
        <w:t>smlouvy. Uchazeč může zaplatit pomocí platební brány, QR kódu nebo bankovním převodem. Splátky kurzovného nejsou možné.</w:t>
      </w:r>
    </w:p>
    <w:p w14:paraId="4570C4B9" w14:textId="52FE8D60" w:rsidR="00701B0B" w:rsidRPr="00701B0B" w:rsidRDefault="00100CF9" w:rsidP="00100CF9">
      <w:pPr>
        <w:pStyle w:val="Nadpis1"/>
      </w:pPr>
      <w:r>
        <w:br/>
      </w:r>
      <w:r w:rsidR="00701B0B" w:rsidRPr="00701B0B">
        <w:t>Ostatní ujednání</w:t>
      </w:r>
    </w:p>
    <w:p w14:paraId="03686BAE" w14:textId="5BE723EA" w:rsidR="00701B0B" w:rsidRPr="00701B0B" w:rsidRDefault="00701B0B" w:rsidP="00100CF9">
      <w:pPr>
        <w:pStyle w:val="Nadpis2"/>
      </w:pPr>
      <w:r w:rsidRPr="00701B0B">
        <w:t>Účastník CŽV je povinen před zahájením studia CŽV seznámit se s obsahem studijních předpisů TUL minimálně v rozsahu, v jakém se na něj vztahují</w:t>
      </w:r>
      <w:r w:rsidR="00F8187E">
        <w:t xml:space="preserve"> a dále se</w:t>
      </w:r>
      <w:r w:rsidR="00573975">
        <w:t> </w:t>
      </w:r>
      <w:r w:rsidR="00F8187E">
        <w:t xml:space="preserve">jimi řídit po celou dobu </w:t>
      </w:r>
      <w:r w:rsidR="00B40DD1">
        <w:t>studia CŽV.</w:t>
      </w:r>
    </w:p>
    <w:p w14:paraId="50549CDD" w14:textId="30296A44" w:rsidR="00701B0B" w:rsidRPr="00701B0B" w:rsidRDefault="00701B0B" w:rsidP="00100CF9">
      <w:pPr>
        <w:pStyle w:val="Nadpis2"/>
      </w:pPr>
      <w:r w:rsidRPr="00701B0B">
        <w:t xml:space="preserve">Po skončení studia, za podmínky úplného splnění studijních povinností, TUL vydá </w:t>
      </w:r>
      <w:r w:rsidR="009F67BD">
        <w:t>Ú</w:t>
      </w:r>
      <w:r w:rsidRPr="00701B0B">
        <w:t xml:space="preserve">častníku CŽV </w:t>
      </w:r>
      <w:r w:rsidRPr="00DE667C">
        <w:rPr>
          <w:b/>
          <w:bCs/>
        </w:rPr>
        <w:t>osvědčení</w:t>
      </w:r>
      <w:r w:rsidR="00573975">
        <w:rPr>
          <w:b/>
          <w:bCs/>
        </w:rPr>
        <w:t xml:space="preserve"> </w:t>
      </w:r>
      <w:r w:rsidRPr="00701B0B">
        <w:t>o úspěšném absolvování kurz</w:t>
      </w:r>
      <w:r w:rsidR="009F67BD">
        <w:t>u</w:t>
      </w:r>
      <w:r w:rsidR="00573975">
        <w:t> </w:t>
      </w:r>
      <w:r w:rsidRPr="00701B0B">
        <w:t>CŽV</w:t>
      </w:r>
      <w:r w:rsidR="00DE335D">
        <w:t>.</w:t>
      </w:r>
    </w:p>
    <w:p w14:paraId="3A015EE0" w14:textId="6FDDB35C" w:rsidR="00701B0B" w:rsidRDefault="00701B0B" w:rsidP="00100CF9">
      <w:pPr>
        <w:pStyle w:val="Nadpis2"/>
      </w:pPr>
      <w:r w:rsidRPr="00701B0B">
        <w:lastRenderedPageBreak/>
        <w:t xml:space="preserve">Po úspěšném absolvování </w:t>
      </w:r>
      <w:r w:rsidR="004A7DC8">
        <w:t xml:space="preserve">kurzu CŽV </w:t>
      </w:r>
      <w:r w:rsidRPr="00701B0B">
        <w:t xml:space="preserve">může TUL uznat </w:t>
      </w:r>
      <w:r w:rsidR="00DE667C">
        <w:t>Ú</w:t>
      </w:r>
      <w:r w:rsidRPr="00701B0B">
        <w:t>častníkovi</w:t>
      </w:r>
      <w:r w:rsidR="00E974F3">
        <w:t>, pokud s</w:t>
      </w:r>
      <w:r w:rsidR="00F8187E">
        <w:t>e</w:t>
      </w:r>
      <w:r w:rsidR="00E974F3">
        <w:t xml:space="preserve"> stane studentem</w:t>
      </w:r>
      <w:r w:rsidR="00F8187E">
        <w:t xml:space="preserve"> podle zákona o vysokých školách</w:t>
      </w:r>
      <w:r w:rsidR="00E974F3">
        <w:t>,</w:t>
      </w:r>
      <w:r w:rsidRPr="00701B0B">
        <w:t xml:space="preserve"> </w:t>
      </w:r>
      <w:r w:rsidR="004A7DC8">
        <w:t>získané kredity</w:t>
      </w:r>
      <w:r w:rsidR="00DE667C">
        <w:t xml:space="preserve"> rámci </w:t>
      </w:r>
      <w:r w:rsidRPr="00701B0B">
        <w:t>CŽV až</w:t>
      </w:r>
      <w:r w:rsidR="00573975">
        <w:t> </w:t>
      </w:r>
      <w:r w:rsidRPr="00701B0B">
        <w:t>do</w:t>
      </w:r>
      <w:r w:rsidR="00573975">
        <w:t> </w:t>
      </w:r>
      <w:r w:rsidRPr="00701B0B">
        <w:t xml:space="preserve">výše </w:t>
      </w:r>
      <w:r w:rsidRPr="004A7DC8">
        <w:rPr>
          <w:b/>
          <w:bCs/>
        </w:rPr>
        <w:t>60</w:t>
      </w:r>
      <w:r w:rsidR="00573975">
        <w:rPr>
          <w:b/>
          <w:bCs/>
        </w:rPr>
        <w:t> </w:t>
      </w:r>
      <w:r w:rsidRPr="004A7DC8">
        <w:rPr>
          <w:b/>
          <w:bCs/>
        </w:rPr>
        <w:t>%</w:t>
      </w:r>
      <w:r w:rsidR="00573975">
        <w:rPr>
          <w:b/>
          <w:bCs/>
        </w:rPr>
        <w:t> </w:t>
      </w:r>
      <w:r w:rsidRPr="004A7DC8">
        <w:rPr>
          <w:b/>
          <w:bCs/>
        </w:rPr>
        <w:t>kreditů</w:t>
      </w:r>
      <w:r w:rsidRPr="00701B0B">
        <w:t xml:space="preserve"> potřebných</w:t>
      </w:r>
      <w:r w:rsidR="00DE667C">
        <w:t xml:space="preserve"> </w:t>
      </w:r>
      <w:r w:rsidRPr="00701B0B">
        <w:t>k řádnému ukončení studia v</w:t>
      </w:r>
      <w:r w:rsidR="004A7DC8">
        <w:t> rámci</w:t>
      </w:r>
      <w:r w:rsidRPr="00701B0B">
        <w:t xml:space="preserve"> </w:t>
      </w:r>
      <w:r w:rsidR="004A7DC8">
        <w:t xml:space="preserve">akreditovaného </w:t>
      </w:r>
      <w:r w:rsidRPr="00701B0B">
        <w:t>studijní</w:t>
      </w:r>
      <w:r w:rsidR="004A7DC8">
        <w:t>ho</w:t>
      </w:r>
      <w:r w:rsidRPr="00701B0B">
        <w:t xml:space="preserve"> programu</w:t>
      </w:r>
      <w:r w:rsidR="004A7DC8">
        <w:t xml:space="preserve"> na TUL</w:t>
      </w:r>
      <w:r w:rsidRPr="00701B0B">
        <w:t>.</w:t>
      </w:r>
    </w:p>
    <w:p w14:paraId="493E253F" w14:textId="3ED8103A" w:rsidR="00E36074" w:rsidRPr="00E36074" w:rsidRDefault="00E36074" w:rsidP="00DE335D">
      <w:pPr>
        <w:pStyle w:val="Nadpis2"/>
      </w:pPr>
      <w:r>
        <w:rPr>
          <w:color w:val="000000"/>
        </w:rPr>
        <w:t>Účastník</w:t>
      </w:r>
      <w:r w:rsidRPr="00DE335D">
        <w:rPr>
          <w:color w:val="000000"/>
        </w:rPr>
        <w:t xml:space="preserve"> si je vědom podmínky podle § 8 odst. 1</w:t>
      </w:r>
      <w:r w:rsidR="00B33560">
        <w:rPr>
          <w:color w:val="000000"/>
        </w:rPr>
        <w:t xml:space="preserve"> písm. a)</w:t>
      </w:r>
      <w:r w:rsidRPr="00DE335D">
        <w:rPr>
          <w:color w:val="000000"/>
        </w:rPr>
        <w:t xml:space="preserve"> zákona č. 254/2019 Sb.</w:t>
      </w:r>
      <w:r w:rsidR="00B33560">
        <w:rPr>
          <w:color w:val="000000"/>
        </w:rPr>
        <w:t xml:space="preserve"> o znalcích, znaleckých kancelářích a znaleckých ústavech</w:t>
      </w:r>
      <w:r w:rsidRPr="00DE335D">
        <w:rPr>
          <w:color w:val="000000"/>
        </w:rPr>
        <w:t>, která stanovuje, že</w:t>
      </w:r>
      <w:r w:rsidR="00573975">
        <w:rPr>
          <w:color w:val="000000"/>
        </w:rPr>
        <w:t> </w:t>
      </w:r>
      <w:r w:rsidRPr="00DE335D">
        <w:rPr>
          <w:color w:val="000000"/>
        </w:rPr>
        <w:t>za</w:t>
      </w:r>
      <w:r w:rsidR="00573975">
        <w:rPr>
          <w:color w:val="000000"/>
        </w:rPr>
        <w:t> </w:t>
      </w:r>
      <w:r w:rsidRPr="00DE335D">
        <w:rPr>
          <w:color w:val="000000"/>
        </w:rPr>
        <w:t>odborně způsobilou ke znalecké činnosti se považuje osoba, která získala vysokoškolské vzdělání nejméně v magisterském studijním programu odpovídajícího směru zaměřené na daný obor a dané odvětví.</w:t>
      </w:r>
    </w:p>
    <w:p w14:paraId="7FF3F573" w14:textId="35DBFA80" w:rsidR="00701B0B" w:rsidRPr="00701B0B" w:rsidRDefault="00100CF9" w:rsidP="00100CF9">
      <w:pPr>
        <w:pStyle w:val="Nadpis1"/>
      </w:pPr>
      <w:r>
        <w:br/>
      </w:r>
      <w:r w:rsidR="00701B0B" w:rsidRPr="00701B0B">
        <w:t>Ukončení platnosti smlouvy</w:t>
      </w:r>
    </w:p>
    <w:p w14:paraId="6BF7BA2E" w14:textId="585E3B4F" w:rsidR="00573975" w:rsidRDefault="00573975" w:rsidP="00573975">
      <w:pPr>
        <w:pStyle w:val="Nadpis2"/>
      </w:pPr>
      <w:r w:rsidRPr="00701B0B">
        <w:t xml:space="preserve">Platnost této </w:t>
      </w:r>
      <w:r>
        <w:t>S</w:t>
      </w:r>
      <w:r w:rsidRPr="00701B0B">
        <w:t xml:space="preserve">mlouvy končí </w:t>
      </w:r>
      <w:r>
        <w:t>ukončením vzdělávání v programu CŽV. Studium je zahájeno dnem převzetí přihlašovacích hesel do informačního systému TUL</w:t>
      </w:r>
      <w:r w:rsidR="009D4D09">
        <w:t xml:space="preserve">. </w:t>
      </w:r>
      <w:r>
        <w:t xml:space="preserve">Účastníkem a končí datem složení </w:t>
      </w:r>
      <w:r w:rsidRPr="0078010C">
        <w:t xml:space="preserve">závěrečné </w:t>
      </w:r>
      <w:r>
        <w:t xml:space="preserve">zkoušky. </w:t>
      </w:r>
      <w:r w:rsidRPr="00303C5C">
        <w:t xml:space="preserve">Standardní doba studia podle studijního plánu, který tvoří přílohu Smlouvy, je </w:t>
      </w:r>
      <w:r>
        <w:t xml:space="preserve">čtyři semestry, resp. </w:t>
      </w:r>
      <w:r w:rsidRPr="00303C5C">
        <w:t>dva roky.</w:t>
      </w:r>
    </w:p>
    <w:p w14:paraId="4DE49A62" w14:textId="6CF110F9" w:rsidR="00701B0B" w:rsidRDefault="00701B0B" w:rsidP="00100CF9">
      <w:pPr>
        <w:pStyle w:val="Nadpis2"/>
      </w:pPr>
      <w:r w:rsidRPr="00701B0B">
        <w:t xml:space="preserve">Účastník CŽV může od </w:t>
      </w:r>
      <w:r w:rsidR="00647603">
        <w:t>S</w:t>
      </w:r>
      <w:r w:rsidRPr="00701B0B">
        <w:t>mlouvy odstoupit kdykoliv</w:t>
      </w:r>
      <w:r w:rsidR="00886AC1">
        <w:t xml:space="preserve"> i bez uvedení důvodu</w:t>
      </w:r>
      <w:r w:rsidRPr="00701B0B">
        <w:t xml:space="preserve">. </w:t>
      </w:r>
      <w:r w:rsidR="00647603">
        <w:t>Úplata</w:t>
      </w:r>
      <w:r w:rsidRPr="00701B0B">
        <w:t xml:space="preserve"> za studium CŽV ani jeho poměrná část se nevracejí. V případech </w:t>
      </w:r>
      <w:r w:rsidR="00B954A7" w:rsidRPr="00701B0B">
        <w:t xml:space="preserve">hodných </w:t>
      </w:r>
      <w:r w:rsidRPr="00701B0B">
        <w:t xml:space="preserve">zvláštního zřetele </w:t>
      </w:r>
      <w:r w:rsidR="00647603">
        <w:t xml:space="preserve">však </w:t>
      </w:r>
      <w:r w:rsidR="00647603" w:rsidRPr="00701B0B">
        <w:t xml:space="preserve">může děkan fakulty </w:t>
      </w:r>
      <w:r w:rsidRPr="00701B0B">
        <w:t xml:space="preserve">na žádost </w:t>
      </w:r>
      <w:r w:rsidR="00647603">
        <w:t>Ú</w:t>
      </w:r>
      <w:r w:rsidRPr="00701B0B">
        <w:t>častníka rozhodnout o</w:t>
      </w:r>
      <w:r w:rsidR="00573975">
        <w:t> </w:t>
      </w:r>
      <w:r w:rsidRPr="00701B0B">
        <w:t xml:space="preserve">vrácení poměrné části </w:t>
      </w:r>
      <w:r w:rsidR="00647603">
        <w:t xml:space="preserve">úplaty </w:t>
      </w:r>
      <w:r w:rsidRPr="00701B0B">
        <w:t xml:space="preserve">snížené o </w:t>
      </w:r>
      <w:r w:rsidR="00647603">
        <w:t>manipulační poplatek</w:t>
      </w:r>
      <w:r w:rsidRPr="00701B0B">
        <w:t xml:space="preserve"> ve výši </w:t>
      </w:r>
      <w:r w:rsidR="00647603">
        <w:t>5</w:t>
      </w:r>
      <w:r w:rsidR="004C276E">
        <w:t> </w:t>
      </w:r>
      <w:r w:rsidRPr="00701B0B">
        <w:t>000</w:t>
      </w:r>
      <w:r w:rsidR="004C276E">
        <w:t> </w:t>
      </w:r>
      <w:r w:rsidRPr="00701B0B">
        <w:t>Kč.</w:t>
      </w:r>
    </w:p>
    <w:p w14:paraId="5E7851A9" w14:textId="25B82E04" w:rsidR="00701B0B" w:rsidRPr="00701B0B" w:rsidRDefault="00701B0B" w:rsidP="00100CF9">
      <w:pPr>
        <w:pStyle w:val="Nadpis2"/>
      </w:pPr>
      <w:r w:rsidRPr="00701B0B">
        <w:t>TUL může od smlouvy odstoupit v případech, kdy:</w:t>
      </w:r>
    </w:p>
    <w:p w14:paraId="48E1B13C" w14:textId="2B3C4DB0" w:rsidR="00701B0B" w:rsidRPr="00701B0B" w:rsidRDefault="00F5292E" w:rsidP="00100CF9">
      <w:pPr>
        <w:pStyle w:val="Nadpis3"/>
      </w:pPr>
      <w:r>
        <w:rPr>
          <w:rFonts w:eastAsia="SymbolMT"/>
        </w:rPr>
        <w:t>Ú</w:t>
      </w:r>
      <w:r w:rsidR="00701B0B" w:rsidRPr="00701B0B">
        <w:t xml:space="preserve">častník neuhradil ve stanovené lhůtě </w:t>
      </w:r>
      <w:r w:rsidR="009D4D09">
        <w:t xml:space="preserve">kurzovné </w:t>
      </w:r>
      <w:r w:rsidR="00701B0B" w:rsidRPr="00701B0B">
        <w:t xml:space="preserve">ve výši a za podmínek stanovených v článku </w:t>
      </w:r>
      <w:r w:rsidR="004C276E">
        <w:fldChar w:fldCharType="begin"/>
      </w:r>
      <w:r w:rsidR="004C276E">
        <w:instrText xml:space="preserve"> REF  _Ref155861005 \h \r \t </w:instrText>
      </w:r>
      <w:r w:rsidR="004C276E">
        <w:fldChar w:fldCharType="separate"/>
      </w:r>
      <w:r w:rsidR="004C276E">
        <w:t>III</w:t>
      </w:r>
      <w:r w:rsidR="004C276E">
        <w:fldChar w:fldCharType="end"/>
      </w:r>
      <w:r w:rsidR="00573975">
        <w:t>.</w:t>
      </w:r>
    </w:p>
    <w:p w14:paraId="155939C5" w14:textId="42E4B07B" w:rsidR="00701B0B" w:rsidRDefault="00F5292E" w:rsidP="00100CF9">
      <w:pPr>
        <w:pStyle w:val="Nadpis3"/>
      </w:pPr>
      <w:r>
        <w:rPr>
          <w:rFonts w:eastAsia="SymbolMT"/>
        </w:rPr>
        <w:t>Ú</w:t>
      </w:r>
      <w:r w:rsidR="00701B0B" w:rsidRPr="00701B0B">
        <w:t>častník porušil vnitřní předpisy TUL, které se na něj vztahují</w:t>
      </w:r>
      <w:r w:rsidR="00886AC1">
        <w:t xml:space="preserve"> nebo podmínky této Smlouvy</w:t>
      </w:r>
      <w:r w:rsidR="00701B0B" w:rsidRPr="00701B0B">
        <w:t>.</w:t>
      </w:r>
    </w:p>
    <w:p w14:paraId="456A2153" w14:textId="77777777" w:rsidR="00573975" w:rsidRPr="00701B0B" w:rsidRDefault="00573975" w:rsidP="00573975">
      <w:pPr>
        <w:pStyle w:val="Nadpis3"/>
      </w:pPr>
      <w:r>
        <w:t>Účastník nedokončí své studium do čtyř let od zahájení studia</w:t>
      </w:r>
      <w:r w:rsidRPr="00701B0B">
        <w:t>.</w:t>
      </w:r>
      <w:r>
        <w:t xml:space="preserve"> Do této doby se nepočítá doba přerušení studia.</w:t>
      </w:r>
    </w:p>
    <w:p w14:paraId="670C4D05" w14:textId="38F110B0" w:rsidR="00701B0B" w:rsidRPr="00701B0B" w:rsidRDefault="00701B0B" w:rsidP="00100CF9">
      <w:pPr>
        <w:pStyle w:val="Nadpis2"/>
      </w:pPr>
      <w:r w:rsidRPr="00701B0B">
        <w:t xml:space="preserve">Odstoupení od </w:t>
      </w:r>
      <w:r w:rsidR="0029600C">
        <w:t>S</w:t>
      </w:r>
      <w:r w:rsidRPr="00701B0B">
        <w:t xml:space="preserve">mlouvy musí být provedeno písemnou formou a doručeno druhé smluvní straně, jinak je neplatné. Účinky odstoupení od </w:t>
      </w:r>
      <w:r w:rsidR="0029600C">
        <w:t>S</w:t>
      </w:r>
      <w:r w:rsidRPr="00701B0B">
        <w:t>mlouvy nastávají dnem doručení.</w:t>
      </w:r>
    </w:p>
    <w:p w14:paraId="223A4787" w14:textId="2AB6D6CF" w:rsidR="00701B0B" w:rsidRPr="00701B0B" w:rsidRDefault="00100CF9" w:rsidP="00100CF9">
      <w:pPr>
        <w:pStyle w:val="Nadpis1"/>
      </w:pPr>
      <w:r>
        <w:br/>
      </w:r>
      <w:r w:rsidR="00701B0B" w:rsidRPr="00701B0B">
        <w:t>Závěrečná ustanovení</w:t>
      </w:r>
    </w:p>
    <w:p w14:paraId="3852F818" w14:textId="109AAD2A" w:rsidR="00701B0B" w:rsidRPr="00573975" w:rsidRDefault="00573975" w:rsidP="00573975">
      <w:pPr>
        <w:pStyle w:val="Nadpis2"/>
      </w:pPr>
      <w:r w:rsidRPr="00573975">
        <w:t xml:space="preserve">Tato Smlouva nabývá platnosti dnem podpisu oběma smluvními stranami </w:t>
      </w:r>
      <w:r w:rsidR="008F3DC9" w:rsidRPr="00573975">
        <w:t>a účinnosti dnem zaplacení kurzovného</w:t>
      </w:r>
      <w:r w:rsidR="00701B0B" w:rsidRPr="00573975">
        <w:t>.</w:t>
      </w:r>
    </w:p>
    <w:p w14:paraId="60C63E54" w14:textId="26DB30FA" w:rsidR="00701B0B" w:rsidRPr="00701B0B" w:rsidRDefault="00701B0B" w:rsidP="00100CF9">
      <w:pPr>
        <w:pStyle w:val="Nadpis2"/>
      </w:pPr>
      <w:r w:rsidRPr="00701B0B">
        <w:t xml:space="preserve">Ve všech věcech výslovně neupravených touto </w:t>
      </w:r>
      <w:r w:rsidR="003341F8">
        <w:t>S</w:t>
      </w:r>
      <w:r w:rsidRPr="00701B0B">
        <w:t xml:space="preserve">mlouvou se smluvní strany řídí příslušnými vnitřními předpisy TUL vždy aplikovanými přiměřeně k charakteru studia CŽV a k postavení (statusu) jeho účastníků, dále zákonem </w:t>
      </w:r>
      <w:r w:rsidR="00DF2901">
        <w:t>o vysokých školách</w:t>
      </w:r>
      <w:r w:rsidRPr="00701B0B">
        <w:t xml:space="preserve"> a občanským zákoníkem.</w:t>
      </w:r>
    </w:p>
    <w:p w14:paraId="58331B61" w14:textId="287E774F" w:rsidR="00701B0B" w:rsidRPr="00701B0B" w:rsidRDefault="00701B0B" w:rsidP="00100CF9">
      <w:pPr>
        <w:pStyle w:val="Nadpis2"/>
      </w:pPr>
      <w:r w:rsidRPr="00701B0B">
        <w:t xml:space="preserve">Tuto </w:t>
      </w:r>
      <w:r w:rsidR="003341F8">
        <w:t>S</w:t>
      </w:r>
      <w:r w:rsidRPr="00701B0B">
        <w:t>mlouvu lze měnit nebo doplňovat pouze písemnou formou.</w:t>
      </w:r>
    </w:p>
    <w:p w14:paraId="24D53A2A" w14:textId="7FDBE46D" w:rsidR="00701B0B" w:rsidRDefault="00701B0B" w:rsidP="00100CF9">
      <w:pPr>
        <w:pStyle w:val="Nadpis2"/>
      </w:pPr>
      <w:bookmarkStart w:id="5" w:name="_Hlk165983658"/>
      <w:r w:rsidRPr="00701B0B">
        <w:t xml:space="preserve">Tato </w:t>
      </w:r>
      <w:r w:rsidR="003341F8">
        <w:t>S</w:t>
      </w:r>
      <w:r w:rsidRPr="00701B0B">
        <w:t xml:space="preserve">mlouva se vyhotovuje ve třech vyhotoveních, z nichž TUL obdrží </w:t>
      </w:r>
      <w:r w:rsidR="00573975">
        <w:t>dvě</w:t>
      </w:r>
      <w:r w:rsidRPr="00701B0B">
        <w:t xml:space="preserve"> vyhotovení a </w:t>
      </w:r>
      <w:r w:rsidR="003341F8">
        <w:t>Ú</w:t>
      </w:r>
      <w:r w:rsidRPr="00701B0B">
        <w:t xml:space="preserve">častník </w:t>
      </w:r>
      <w:r w:rsidR="00573975">
        <w:t xml:space="preserve">jedno </w:t>
      </w:r>
      <w:r w:rsidRPr="00701B0B">
        <w:t>vyhotovení.</w:t>
      </w:r>
    </w:p>
    <w:bookmarkEnd w:id="5"/>
    <w:p w14:paraId="3BA9D739" w14:textId="533ECFBD" w:rsidR="00A83A66" w:rsidRPr="00A83A66" w:rsidRDefault="00162D03" w:rsidP="00DE335D">
      <w:pPr>
        <w:pStyle w:val="Nadpis2"/>
      </w:pPr>
      <w:r>
        <w:lastRenderedPageBreak/>
        <w:t>Smluvní strany se dohodly</w:t>
      </w:r>
      <w:r w:rsidR="00430EF9">
        <w:t xml:space="preserve"> akceptovat prostý </w:t>
      </w:r>
      <w:r w:rsidR="00200B57" w:rsidRPr="00573975">
        <w:t xml:space="preserve">(naskenovaný) </w:t>
      </w:r>
      <w:r w:rsidR="00430EF9" w:rsidRPr="00573975">
        <w:t>i</w:t>
      </w:r>
      <w:r w:rsidR="00430EF9">
        <w:t xml:space="preserve"> zaručený elektronický podpis této Smlouvy.</w:t>
      </w:r>
    </w:p>
    <w:p w14:paraId="43F6493D" w14:textId="77777777" w:rsidR="00701B0B" w:rsidRDefault="00701B0B" w:rsidP="00701B0B">
      <w:pPr>
        <w:adjustRightInd w:val="0"/>
        <w:rPr>
          <w:rFonts w:ascii="Inter" w:hAnsi="Inter" w:cs="Tahoma"/>
          <w:sz w:val="23"/>
          <w:szCs w:val="23"/>
        </w:rPr>
      </w:pPr>
    </w:p>
    <w:tbl>
      <w:tblPr>
        <w:tblW w:w="98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005"/>
      </w:tblGrid>
      <w:tr w:rsidR="00573975" w:rsidRPr="00701B0B" w14:paraId="54CEA1A2" w14:textId="77777777">
        <w:trPr>
          <w:trHeight w:val="1648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6DC4710" w14:textId="77777777" w:rsidR="00573975" w:rsidRDefault="00573975" w:rsidP="00573975">
            <w:pPr>
              <w:keepNext/>
              <w:keepLines/>
              <w:spacing w:after="60"/>
              <w:rPr>
                <w:rFonts w:ascii="Inter" w:hAnsi="Inter" w:cs="Tahoma"/>
                <w:sz w:val="21"/>
                <w:szCs w:val="21"/>
              </w:rPr>
            </w:pPr>
          </w:p>
          <w:p w14:paraId="7B9F276C" w14:textId="77777777" w:rsidR="00573975" w:rsidRDefault="00573975" w:rsidP="00573975">
            <w:pPr>
              <w:keepNext/>
              <w:keepLines/>
              <w:spacing w:after="60"/>
              <w:rPr>
                <w:rFonts w:ascii="Inter" w:hAnsi="Inter" w:cs="Tahoma"/>
                <w:sz w:val="21"/>
                <w:szCs w:val="21"/>
              </w:rPr>
            </w:pPr>
            <w:r w:rsidRPr="00701B0B">
              <w:rPr>
                <w:rFonts w:ascii="Inter" w:hAnsi="Inter" w:cs="Tahoma"/>
                <w:sz w:val="21"/>
                <w:szCs w:val="21"/>
              </w:rPr>
              <w:t xml:space="preserve">V Liberci dne </w:t>
            </w:r>
            <w:r w:rsidRPr="004F1DBF">
              <w:rPr>
                <w:rFonts w:ascii="Inter" w:hAnsi="Inter" w:cs="Tahoma"/>
                <w:sz w:val="21"/>
                <w:szCs w:val="21"/>
              </w:rPr>
              <w:t>………………………………</w:t>
            </w:r>
            <w:r w:rsidRPr="00701B0B">
              <w:rPr>
                <w:rFonts w:ascii="Inter" w:hAnsi="Inter" w:cs="Tahoma"/>
                <w:sz w:val="21"/>
                <w:szCs w:val="21"/>
              </w:rPr>
              <w:t> </w:t>
            </w:r>
          </w:p>
          <w:p w14:paraId="23B848C1" w14:textId="77777777" w:rsidR="00573975" w:rsidRDefault="00573975" w:rsidP="00573975">
            <w:pPr>
              <w:keepNext/>
              <w:keepLines/>
              <w:spacing w:after="60"/>
              <w:jc w:val="center"/>
              <w:rPr>
                <w:rFonts w:ascii="Inter" w:hAnsi="Inter" w:cs="Tahoma"/>
                <w:sz w:val="21"/>
                <w:szCs w:val="21"/>
              </w:rPr>
            </w:pPr>
          </w:p>
          <w:p w14:paraId="6FCBEAF4" w14:textId="77777777" w:rsidR="00573975" w:rsidRPr="00701B0B" w:rsidRDefault="00573975" w:rsidP="00573975">
            <w:pPr>
              <w:keepNext/>
              <w:keepLines/>
              <w:spacing w:after="60"/>
              <w:jc w:val="center"/>
              <w:rPr>
                <w:rFonts w:ascii="Inter" w:hAnsi="Inter" w:cs="Tahoma"/>
                <w:sz w:val="21"/>
                <w:szCs w:val="21"/>
              </w:rPr>
            </w:pPr>
            <w:r w:rsidRPr="00701B0B">
              <w:rPr>
                <w:rFonts w:ascii="Inter" w:hAnsi="Inter" w:cs="Tahoma"/>
                <w:sz w:val="21"/>
                <w:szCs w:val="21"/>
              </w:rPr>
              <w:t>Razítko a podpis TUL</w:t>
            </w:r>
          </w:p>
          <w:p w14:paraId="7D01807B" w14:textId="77777777" w:rsidR="00573975" w:rsidRDefault="00573975" w:rsidP="00573975">
            <w:pPr>
              <w:keepNext/>
              <w:keepLines/>
              <w:spacing w:after="60"/>
              <w:jc w:val="center"/>
              <w:rPr>
                <w:rFonts w:ascii="Inter" w:hAnsi="Inter" w:cs="Tahoma"/>
                <w:sz w:val="21"/>
                <w:szCs w:val="21"/>
              </w:rPr>
            </w:pPr>
          </w:p>
          <w:p w14:paraId="3DAAF9FA" w14:textId="77777777" w:rsidR="00573975" w:rsidRDefault="00573975" w:rsidP="00573975">
            <w:pPr>
              <w:keepNext/>
              <w:keepLines/>
              <w:spacing w:after="60"/>
              <w:jc w:val="center"/>
              <w:rPr>
                <w:rFonts w:ascii="Inter" w:hAnsi="Inter" w:cs="Tahoma"/>
                <w:sz w:val="21"/>
                <w:szCs w:val="21"/>
              </w:rPr>
            </w:pPr>
          </w:p>
          <w:p w14:paraId="6344B912" w14:textId="77777777" w:rsidR="00573975" w:rsidRPr="00701B0B" w:rsidRDefault="00573975" w:rsidP="00573975">
            <w:pPr>
              <w:keepNext/>
              <w:keepLines/>
              <w:spacing w:after="60"/>
              <w:jc w:val="center"/>
              <w:rPr>
                <w:rFonts w:ascii="Inter" w:hAnsi="Inter" w:cs="Tahoma"/>
                <w:sz w:val="21"/>
                <w:szCs w:val="21"/>
              </w:rPr>
            </w:pPr>
          </w:p>
          <w:p w14:paraId="5E7CCBCB" w14:textId="77777777" w:rsidR="00573975" w:rsidRPr="00701B0B" w:rsidRDefault="00573975" w:rsidP="00573975">
            <w:pPr>
              <w:keepNext/>
              <w:keepLines/>
              <w:spacing w:after="60"/>
              <w:jc w:val="center"/>
              <w:rPr>
                <w:rFonts w:ascii="Inter" w:hAnsi="Inter" w:cs="Tahoma"/>
                <w:sz w:val="21"/>
                <w:szCs w:val="21"/>
              </w:rPr>
            </w:pPr>
          </w:p>
          <w:p w14:paraId="74A305EE" w14:textId="77777777" w:rsidR="00573975" w:rsidRPr="00701B0B" w:rsidRDefault="00573975" w:rsidP="00573975">
            <w:pPr>
              <w:keepNext/>
              <w:keepLines/>
              <w:spacing w:after="60"/>
              <w:jc w:val="center"/>
              <w:rPr>
                <w:rFonts w:ascii="Inter" w:hAnsi="Inter" w:cs="Tahoma"/>
                <w:sz w:val="21"/>
                <w:szCs w:val="21"/>
              </w:rPr>
            </w:pPr>
            <w:r w:rsidRPr="00701B0B">
              <w:rPr>
                <w:rFonts w:ascii="Inter" w:hAnsi="Inter" w:cs="Tahoma"/>
                <w:sz w:val="21"/>
                <w:szCs w:val="21"/>
              </w:rPr>
              <w:t>………………………………………………………</w:t>
            </w:r>
          </w:p>
          <w:p w14:paraId="274B8290" w14:textId="2820D9B8" w:rsidR="00573975" w:rsidRPr="00701B0B" w:rsidRDefault="00623766" w:rsidP="00573975">
            <w:pPr>
              <w:spacing w:after="60"/>
              <w:jc w:val="center"/>
              <w:rPr>
                <w:rFonts w:ascii="Inter" w:hAnsi="Inter" w:cs="Tahoma"/>
                <w:sz w:val="21"/>
                <w:szCs w:val="21"/>
              </w:rPr>
            </w:pPr>
            <w:r>
              <w:rPr>
                <w:rFonts w:ascii="Inter" w:hAnsi="Inter" w:cs="Tahoma"/>
                <w:i/>
                <w:sz w:val="21"/>
                <w:szCs w:val="21"/>
              </w:rPr>
              <w:t>Rektor TUL</w:t>
            </w:r>
            <w:r w:rsidR="00573975">
              <w:rPr>
                <w:rFonts w:ascii="Inter" w:hAnsi="Inter" w:cs="Tahoma"/>
                <w:i/>
                <w:sz w:val="21"/>
                <w:szCs w:val="21"/>
              </w:rPr>
              <w:t xml:space="preserve"> / zmocněná osoba</w:t>
            </w:r>
          </w:p>
        </w:tc>
        <w:tc>
          <w:tcPr>
            <w:tcW w:w="500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3F1262F" w14:textId="77777777" w:rsidR="00573975" w:rsidRDefault="00573975" w:rsidP="00573975">
            <w:pPr>
              <w:keepNext/>
              <w:keepLines/>
              <w:spacing w:after="60"/>
              <w:rPr>
                <w:rFonts w:ascii="Inter" w:hAnsi="Inter" w:cs="Tahoma"/>
                <w:sz w:val="21"/>
                <w:szCs w:val="21"/>
              </w:rPr>
            </w:pPr>
          </w:p>
          <w:p w14:paraId="55528BCD" w14:textId="77777777" w:rsidR="00573975" w:rsidRDefault="00573975" w:rsidP="00573975">
            <w:pPr>
              <w:keepNext/>
              <w:keepLines/>
              <w:spacing w:after="60"/>
              <w:rPr>
                <w:rFonts w:ascii="Inter" w:hAnsi="Inter" w:cs="Tahoma"/>
                <w:sz w:val="21"/>
                <w:szCs w:val="21"/>
              </w:rPr>
            </w:pPr>
            <w:r w:rsidRPr="00701B0B">
              <w:rPr>
                <w:rFonts w:ascii="Inter" w:hAnsi="Inter" w:cs="Tahoma"/>
                <w:sz w:val="21"/>
                <w:szCs w:val="21"/>
              </w:rPr>
              <w:t>V </w:t>
            </w:r>
            <w:r w:rsidRPr="004F1DBF">
              <w:rPr>
                <w:rFonts w:ascii="Inter" w:hAnsi="Inter" w:cs="Tahoma"/>
                <w:sz w:val="21"/>
                <w:szCs w:val="21"/>
              </w:rPr>
              <w:t>………………………………</w:t>
            </w:r>
            <w:r w:rsidRPr="00701B0B">
              <w:rPr>
                <w:rFonts w:ascii="Inter" w:hAnsi="Inter" w:cs="Tahoma"/>
                <w:sz w:val="21"/>
                <w:szCs w:val="21"/>
              </w:rPr>
              <w:t xml:space="preserve"> dne </w:t>
            </w:r>
            <w:r w:rsidRPr="004F1DBF">
              <w:rPr>
                <w:rFonts w:ascii="Inter" w:hAnsi="Inter" w:cs="Tahoma"/>
                <w:sz w:val="21"/>
                <w:szCs w:val="21"/>
              </w:rPr>
              <w:t>………………………………</w:t>
            </w:r>
          </w:p>
          <w:p w14:paraId="5ACA1030" w14:textId="77777777" w:rsidR="00573975" w:rsidRDefault="00573975" w:rsidP="00573975">
            <w:pPr>
              <w:keepNext/>
              <w:keepLines/>
              <w:spacing w:after="60"/>
              <w:jc w:val="center"/>
              <w:rPr>
                <w:rFonts w:ascii="Inter" w:hAnsi="Inter" w:cs="Tahoma"/>
                <w:sz w:val="21"/>
                <w:szCs w:val="21"/>
              </w:rPr>
            </w:pPr>
          </w:p>
          <w:p w14:paraId="14DBDDAD" w14:textId="77777777" w:rsidR="00573975" w:rsidRPr="00701B0B" w:rsidRDefault="00573975" w:rsidP="00573975">
            <w:pPr>
              <w:keepNext/>
              <w:keepLines/>
              <w:spacing w:after="60"/>
              <w:jc w:val="center"/>
              <w:rPr>
                <w:rFonts w:ascii="Inter" w:hAnsi="Inter" w:cs="Tahoma"/>
                <w:sz w:val="21"/>
                <w:szCs w:val="21"/>
              </w:rPr>
            </w:pPr>
            <w:r w:rsidRPr="00701B0B">
              <w:rPr>
                <w:rFonts w:ascii="Inter" w:hAnsi="Inter" w:cs="Tahoma"/>
                <w:sz w:val="21"/>
                <w:szCs w:val="21"/>
              </w:rPr>
              <w:t>Podpis účastníka</w:t>
            </w:r>
          </w:p>
          <w:p w14:paraId="51D40053" w14:textId="77777777" w:rsidR="00573975" w:rsidRPr="00701B0B" w:rsidRDefault="00573975" w:rsidP="00573975">
            <w:pPr>
              <w:keepNext/>
              <w:keepLines/>
              <w:spacing w:after="60"/>
              <w:jc w:val="center"/>
              <w:rPr>
                <w:rFonts w:ascii="Inter" w:hAnsi="Inter" w:cs="Tahoma"/>
                <w:sz w:val="21"/>
                <w:szCs w:val="21"/>
              </w:rPr>
            </w:pPr>
          </w:p>
          <w:p w14:paraId="4D1D5F1F" w14:textId="77777777" w:rsidR="00573975" w:rsidRDefault="00573975" w:rsidP="00573975">
            <w:pPr>
              <w:keepNext/>
              <w:keepLines/>
              <w:spacing w:after="60"/>
              <w:jc w:val="center"/>
              <w:rPr>
                <w:rFonts w:ascii="Inter" w:hAnsi="Inter" w:cs="Tahoma"/>
                <w:sz w:val="21"/>
                <w:szCs w:val="21"/>
              </w:rPr>
            </w:pPr>
          </w:p>
          <w:p w14:paraId="7AD70279" w14:textId="77777777" w:rsidR="00573975" w:rsidRDefault="00573975" w:rsidP="00573975">
            <w:pPr>
              <w:keepNext/>
              <w:keepLines/>
              <w:spacing w:after="60"/>
              <w:jc w:val="center"/>
              <w:rPr>
                <w:rFonts w:ascii="Inter" w:hAnsi="Inter" w:cs="Tahoma"/>
                <w:sz w:val="21"/>
                <w:szCs w:val="21"/>
              </w:rPr>
            </w:pPr>
          </w:p>
          <w:p w14:paraId="2586D079" w14:textId="77777777" w:rsidR="00573975" w:rsidRDefault="00573975" w:rsidP="00573975">
            <w:pPr>
              <w:keepNext/>
              <w:keepLines/>
              <w:spacing w:after="60"/>
              <w:jc w:val="center"/>
              <w:rPr>
                <w:rFonts w:ascii="Inter" w:hAnsi="Inter" w:cs="Tahoma"/>
                <w:sz w:val="21"/>
                <w:szCs w:val="21"/>
              </w:rPr>
            </w:pPr>
          </w:p>
          <w:p w14:paraId="3FF876D1" w14:textId="77777777" w:rsidR="00573975" w:rsidRPr="00701B0B" w:rsidRDefault="00573975" w:rsidP="00573975">
            <w:pPr>
              <w:keepNext/>
              <w:keepLines/>
              <w:spacing w:after="60"/>
              <w:jc w:val="center"/>
              <w:rPr>
                <w:rFonts w:ascii="Inter" w:hAnsi="Inter" w:cs="Tahoma"/>
                <w:sz w:val="21"/>
                <w:szCs w:val="21"/>
              </w:rPr>
            </w:pPr>
            <w:r w:rsidRPr="00701B0B">
              <w:rPr>
                <w:rFonts w:ascii="Inter" w:hAnsi="Inter" w:cs="Tahoma"/>
                <w:sz w:val="21"/>
                <w:szCs w:val="21"/>
              </w:rPr>
              <w:t>…………………………………………………….</w:t>
            </w:r>
          </w:p>
          <w:p w14:paraId="7449F87C" w14:textId="39F306FE" w:rsidR="00573975" w:rsidRPr="00701B0B" w:rsidRDefault="00573975" w:rsidP="00573975">
            <w:pPr>
              <w:spacing w:after="60"/>
              <w:jc w:val="center"/>
              <w:rPr>
                <w:rFonts w:ascii="Inter" w:hAnsi="Inter" w:cs="Tahoma"/>
                <w:sz w:val="21"/>
                <w:szCs w:val="21"/>
              </w:rPr>
            </w:pPr>
            <w:r w:rsidRPr="00701B0B">
              <w:rPr>
                <w:rFonts w:ascii="Inter" w:hAnsi="Inter" w:cs="Tahoma"/>
                <w:i/>
                <w:sz w:val="21"/>
                <w:szCs w:val="21"/>
              </w:rPr>
              <w:t>Účastník</w:t>
            </w:r>
          </w:p>
        </w:tc>
      </w:tr>
    </w:tbl>
    <w:p w14:paraId="161BB5F8" w14:textId="77777777" w:rsidR="007122E7" w:rsidRDefault="007122E7" w:rsidP="00701B0B">
      <w:pPr>
        <w:adjustRightInd w:val="0"/>
        <w:rPr>
          <w:rFonts w:ascii="Inter" w:hAnsi="Inter" w:cs="Tahoma"/>
        </w:rPr>
      </w:pPr>
    </w:p>
    <w:p w14:paraId="4020B712" w14:textId="3C53AA07" w:rsidR="00EE2FBA" w:rsidRDefault="007122E7" w:rsidP="00EC238B">
      <w:pPr>
        <w:adjustRightInd w:val="0"/>
        <w:jc w:val="center"/>
        <w:rPr>
          <w:rFonts w:ascii="Inter" w:hAnsi="Inter"/>
          <w:b/>
          <w:bCs/>
        </w:rPr>
      </w:pPr>
      <w:r>
        <w:rPr>
          <w:rFonts w:ascii="Inter" w:hAnsi="Inter" w:cs="Tahoma"/>
        </w:rPr>
        <w:br w:type="page"/>
      </w:r>
      <w:r w:rsidR="00EE2FBA" w:rsidRPr="00EE2FBA">
        <w:rPr>
          <w:rFonts w:ascii="Inter" w:hAnsi="Inter"/>
          <w:b/>
          <w:bCs/>
        </w:rPr>
        <w:lastRenderedPageBreak/>
        <w:t>PŘÍLOHA</w:t>
      </w:r>
    </w:p>
    <w:p w14:paraId="5382D6C1" w14:textId="54BEC89A" w:rsidR="00045F29" w:rsidRDefault="00045F29" w:rsidP="00100CF9">
      <w:pPr>
        <w:pStyle w:val="Nadpis1"/>
        <w:numPr>
          <w:ilvl w:val="0"/>
          <w:numId w:val="0"/>
        </w:numPr>
      </w:pPr>
      <w:bookmarkStart w:id="6" w:name="_Toc115708074"/>
      <w:bookmarkStart w:id="7" w:name="_Toc129646416"/>
      <w:r w:rsidRPr="00C14FA8">
        <w:t xml:space="preserve">Studijní plán </w:t>
      </w:r>
      <w:bookmarkEnd w:id="6"/>
      <w:bookmarkEnd w:id="7"/>
      <w:r w:rsidR="00C14FA8">
        <w:t>specializačního</w:t>
      </w:r>
      <w:r w:rsidR="00C14FA8" w:rsidRPr="00C14FA8">
        <w:t xml:space="preserve"> kombinovaného studia </w:t>
      </w:r>
      <w:r w:rsidR="00100CF9">
        <w:br/>
      </w:r>
      <w:r w:rsidR="00C14FA8" w:rsidRPr="00C14FA8">
        <w:t>Oceňování obchodních závodů (podniků)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31"/>
        <w:gridCol w:w="1134"/>
        <w:gridCol w:w="1701"/>
        <w:gridCol w:w="993"/>
        <w:gridCol w:w="1269"/>
      </w:tblGrid>
      <w:tr w:rsidR="00EC238B" w:rsidRPr="00EE6C23" w14:paraId="79F4CE68" w14:textId="77777777" w:rsidTr="000A5E57">
        <w:trPr>
          <w:trHeight w:val="20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1EEC9A22" w14:textId="77777777" w:rsidR="00EC238B" w:rsidRPr="00EE6C23" w:rsidRDefault="00EC238B" w:rsidP="000A5E57">
            <w:pPr>
              <w:rPr>
                <w:rFonts w:ascii="Inter" w:hAnsi="Inter"/>
                <w:b/>
                <w:color w:val="000000" w:themeColor="text1"/>
              </w:rPr>
            </w:pPr>
            <w:r w:rsidRPr="00EE6C23">
              <w:rPr>
                <w:rFonts w:ascii="Inter" w:hAnsi="Inter"/>
                <w:b/>
                <w:color w:val="000000" w:themeColor="text1"/>
              </w:rPr>
              <w:t>Název předmětu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E1BECC" w14:textId="77777777" w:rsidR="00EC238B" w:rsidRPr="00EE6C23" w:rsidRDefault="00EC238B" w:rsidP="000A5E57">
            <w:pPr>
              <w:jc w:val="center"/>
              <w:rPr>
                <w:rFonts w:ascii="Inter" w:hAnsi="Inter"/>
                <w:b/>
                <w:color w:val="000000" w:themeColor="text1"/>
              </w:rPr>
            </w:pPr>
            <w:r w:rsidRPr="00EE6C23">
              <w:rPr>
                <w:rFonts w:ascii="Inter" w:hAnsi="Inter"/>
                <w:b/>
                <w:color w:val="000000" w:themeColor="text1"/>
              </w:rPr>
              <w:t xml:space="preserve">Rozsah </w:t>
            </w:r>
            <w:r w:rsidRPr="00EE6C23">
              <w:rPr>
                <w:rFonts w:ascii="Inter" w:hAnsi="Inter"/>
                <w:color w:val="000000" w:themeColor="text1"/>
              </w:rPr>
              <w:t>(hodiny)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619E01" w14:textId="77777777" w:rsidR="00EC238B" w:rsidRPr="00EE6C23" w:rsidRDefault="00EC238B" w:rsidP="000A5E57">
            <w:pPr>
              <w:jc w:val="center"/>
              <w:rPr>
                <w:rFonts w:ascii="Inter" w:hAnsi="Inter"/>
                <w:b/>
                <w:color w:val="000000" w:themeColor="text1"/>
              </w:rPr>
            </w:pPr>
            <w:r w:rsidRPr="00EE6C23">
              <w:rPr>
                <w:rFonts w:ascii="Inter" w:hAnsi="Inter"/>
                <w:b/>
                <w:color w:val="000000" w:themeColor="text1"/>
              </w:rPr>
              <w:t>Typ hodnocení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F77CFA" w14:textId="77777777" w:rsidR="00EC238B" w:rsidRPr="00EE6C23" w:rsidRDefault="00EC238B" w:rsidP="000A5E57">
            <w:pPr>
              <w:jc w:val="center"/>
              <w:rPr>
                <w:rFonts w:ascii="Inter" w:hAnsi="Inter"/>
                <w:b/>
                <w:color w:val="000000" w:themeColor="text1"/>
              </w:rPr>
            </w:pPr>
            <w:r w:rsidRPr="00EE6C23">
              <w:rPr>
                <w:rFonts w:ascii="Inter" w:hAnsi="Inter"/>
                <w:b/>
                <w:color w:val="000000" w:themeColor="text1"/>
              </w:rPr>
              <w:t>Počet kreditů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0828353" w14:textId="77777777" w:rsidR="00EC238B" w:rsidRPr="00EE6C23" w:rsidRDefault="00EC238B" w:rsidP="000A5E57">
            <w:pPr>
              <w:jc w:val="center"/>
              <w:rPr>
                <w:rFonts w:ascii="Inter" w:hAnsi="Inter"/>
                <w:b/>
                <w:color w:val="000000" w:themeColor="text1"/>
              </w:rPr>
            </w:pPr>
            <w:r w:rsidRPr="00EE6C23">
              <w:rPr>
                <w:rFonts w:ascii="Inter" w:hAnsi="Inter"/>
                <w:b/>
                <w:color w:val="000000" w:themeColor="text1"/>
              </w:rPr>
              <w:t>Termín realizace</w:t>
            </w:r>
          </w:p>
        </w:tc>
      </w:tr>
      <w:tr w:rsidR="00EC238B" w:rsidRPr="00EE6C23" w14:paraId="28A8E97C" w14:textId="77777777" w:rsidTr="000A5E57">
        <w:trPr>
          <w:trHeight w:val="20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3F9F6205" w14:textId="77777777" w:rsidR="00EC238B" w:rsidRPr="00EE6C23" w:rsidRDefault="00EC238B" w:rsidP="000A5E57">
            <w:pPr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</w:rPr>
              <w:t>Znalecké právo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802591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2E1E05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kz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426057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87697C2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1/ZS</w:t>
            </w:r>
          </w:p>
        </w:tc>
      </w:tr>
      <w:tr w:rsidR="00EC238B" w:rsidRPr="00EE6C23" w14:paraId="1F97E5CB" w14:textId="77777777" w:rsidTr="000A5E57">
        <w:trPr>
          <w:trHeight w:val="20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7312051F" w14:textId="77777777" w:rsidR="00EC238B" w:rsidRPr="00EE6C23" w:rsidRDefault="00EC238B" w:rsidP="000A5E57">
            <w:pPr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</w:rPr>
              <w:t>Právní problematika při oceňování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5B769E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E244B7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kz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731EF6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2778E38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1/ZS</w:t>
            </w:r>
          </w:p>
        </w:tc>
      </w:tr>
      <w:tr w:rsidR="00EC238B" w:rsidRPr="00EE6C23" w14:paraId="4A845522" w14:textId="77777777" w:rsidTr="000A5E57">
        <w:trPr>
          <w:trHeight w:val="20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2157625B" w14:textId="77777777" w:rsidR="00EC238B" w:rsidRPr="00EE6C23" w:rsidRDefault="00EC238B" w:rsidP="000A5E57">
            <w:pPr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</w:rPr>
              <w:t>Oceňovací standardy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650D15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B3B82B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kz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AD25C9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98F5388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1/ZS</w:t>
            </w:r>
          </w:p>
        </w:tc>
      </w:tr>
      <w:tr w:rsidR="00EC238B" w:rsidRPr="00EE6C23" w14:paraId="1E1F755F" w14:textId="77777777" w:rsidTr="000A5E57">
        <w:trPr>
          <w:trHeight w:val="20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51C2D331" w14:textId="77777777" w:rsidR="00EC238B" w:rsidRPr="00EE6C23" w:rsidRDefault="00EC238B" w:rsidP="000A5E57">
            <w:pPr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</w:rPr>
              <w:t>Finanční řízení podniku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2CD079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468B58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zk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5CA390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FB70B3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1/ZS</w:t>
            </w:r>
          </w:p>
        </w:tc>
      </w:tr>
      <w:tr w:rsidR="00EC238B" w:rsidRPr="00EE6C23" w14:paraId="3C4FC8FD" w14:textId="77777777" w:rsidTr="000A5E57">
        <w:trPr>
          <w:trHeight w:val="20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37E6837F" w14:textId="77777777" w:rsidR="00EC238B" w:rsidRPr="00EE6C23" w:rsidRDefault="00EC238B" w:rsidP="000A5E57">
            <w:pPr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</w:rPr>
              <w:t>Finanční analýza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4F6BA4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E13782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zk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1B7AA1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63C2477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1/LS</w:t>
            </w:r>
          </w:p>
        </w:tc>
      </w:tr>
      <w:tr w:rsidR="00EC238B" w:rsidRPr="00EE6C23" w14:paraId="78264AF7" w14:textId="77777777" w:rsidTr="000A5E57">
        <w:trPr>
          <w:trHeight w:val="20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5BDE70FE" w14:textId="77777777" w:rsidR="00EC238B" w:rsidRPr="00EE6C23" w:rsidRDefault="00EC238B" w:rsidP="000A5E57">
            <w:pPr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</w:rPr>
              <w:t>Finanční účetnictví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A1AD5E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42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84DAF8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zk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D1449F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6424A39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1/LS</w:t>
            </w:r>
          </w:p>
        </w:tc>
      </w:tr>
      <w:tr w:rsidR="00EC238B" w:rsidRPr="00EE6C23" w14:paraId="1F531C9B" w14:textId="77777777" w:rsidTr="000A5E57">
        <w:trPr>
          <w:trHeight w:val="20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7016D2E6" w14:textId="77777777" w:rsidR="00EC238B" w:rsidRPr="00EE6C23" w:rsidRDefault="00EC238B" w:rsidP="000A5E57">
            <w:pPr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</w:rPr>
              <w:t>Manažerské účetnictví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A5B46C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07583F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zk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D12787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4E63A30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1/LS</w:t>
            </w:r>
          </w:p>
        </w:tc>
      </w:tr>
      <w:tr w:rsidR="00EC238B" w:rsidRPr="00EE6C23" w14:paraId="38E2D2CA" w14:textId="77777777" w:rsidTr="000A5E57">
        <w:trPr>
          <w:trHeight w:val="20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527D1FA1" w14:textId="77777777" w:rsidR="00EC238B" w:rsidRPr="00EE6C23" w:rsidRDefault="00EC238B" w:rsidP="000A5E57">
            <w:pPr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</w:rPr>
              <w:t>Daně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333B9B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82742A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zk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AF3457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877D994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1/LS</w:t>
            </w:r>
          </w:p>
        </w:tc>
      </w:tr>
      <w:tr w:rsidR="00EC238B" w:rsidRPr="00EE6C23" w14:paraId="38B9CF8E" w14:textId="77777777" w:rsidTr="000A5E57">
        <w:trPr>
          <w:trHeight w:val="20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70BD68EB" w14:textId="77777777" w:rsidR="00EC238B" w:rsidRPr="00EE6C23" w:rsidRDefault="00EC238B" w:rsidP="000A5E57">
            <w:pPr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</w:rPr>
              <w:t>Oceňování podnikových nemovitostí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6F01E6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A89838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kz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E450A4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DF69B8A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2/ZS</w:t>
            </w:r>
          </w:p>
        </w:tc>
      </w:tr>
      <w:tr w:rsidR="00EC238B" w:rsidRPr="00EE6C23" w14:paraId="36FA0746" w14:textId="77777777" w:rsidTr="000A5E57">
        <w:trPr>
          <w:trHeight w:val="20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4B5C4CEF" w14:textId="77777777" w:rsidR="00EC238B" w:rsidRPr="00EE6C23" w:rsidRDefault="00EC238B" w:rsidP="000A5E57">
            <w:pPr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</w:rPr>
              <w:t>Oceňování pohledávek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003834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78F264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kz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F7B574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F8F5CA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2/ZS</w:t>
            </w:r>
          </w:p>
        </w:tc>
      </w:tr>
      <w:tr w:rsidR="00EC238B" w:rsidRPr="00EE6C23" w14:paraId="540D8A61" w14:textId="77777777" w:rsidTr="000A5E57">
        <w:trPr>
          <w:trHeight w:val="20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30F5C772" w14:textId="77777777" w:rsidR="00EC238B" w:rsidRPr="00EE6C23" w:rsidRDefault="00EC238B" w:rsidP="000A5E57">
            <w:pPr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</w:rPr>
              <w:t>Oceňování movitých věcí hmotných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F13109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F31131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kz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E7665D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54E9DEE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2/ZS</w:t>
            </w:r>
          </w:p>
        </w:tc>
      </w:tr>
      <w:tr w:rsidR="00EC238B" w:rsidRPr="00EE6C23" w14:paraId="3B6E5B05" w14:textId="77777777" w:rsidTr="000A5E57">
        <w:trPr>
          <w:trHeight w:val="20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268290B1" w14:textId="77777777" w:rsidR="00EC238B" w:rsidRPr="00EE6C23" w:rsidRDefault="00EC238B" w:rsidP="000A5E57">
            <w:pPr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</w:rPr>
              <w:t>Oceňování movitých věcí nehmotných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F5ADE4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1CEAA1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kz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62046C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4506639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2/ZS</w:t>
            </w:r>
          </w:p>
        </w:tc>
      </w:tr>
      <w:tr w:rsidR="00EC238B" w:rsidRPr="00EE6C23" w14:paraId="2E831B33" w14:textId="77777777" w:rsidTr="000A5E57">
        <w:trPr>
          <w:trHeight w:val="20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13A69F24" w14:textId="77777777" w:rsidR="00EC238B" w:rsidRPr="00EE6C23" w:rsidRDefault="00EC238B" w:rsidP="000A5E57">
            <w:pPr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</w:rPr>
              <w:t>Oceňování cenných papírů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33F720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9C78AB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kz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CDFD48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87A7FBC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2/LS</w:t>
            </w:r>
          </w:p>
        </w:tc>
      </w:tr>
      <w:tr w:rsidR="00EC238B" w:rsidRPr="00EE6C23" w14:paraId="0FBC9A08" w14:textId="77777777" w:rsidTr="000A5E57">
        <w:trPr>
          <w:trHeight w:val="20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76B74D70" w14:textId="77777777" w:rsidR="00EC238B" w:rsidRPr="00EE6C23" w:rsidRDefault="00EC238B" w:rsidP="000A5E57">
            <w:pPr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</w:rPr>
              <w:t>Oceňování technologií a vozidel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22C0B0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471BA5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kz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FC5E97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BC56B91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2/LS</w:t>
            </w:r>
          </w:p>
        </w:tc>
      </w:tr>
      <w:tr w:rsidR="00EC238B" w:rsidRPr="00EE6C23" w14:paraId="5D000C53" w14:textId="77777777" w:rsidTr="000A5E57">
        <w:trPr>
          <w:trHeight w:val="20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516DDE3A" w14:textId="77777777" w:rsidR="00EC238B" w:rsidRPr="00EE6C23" w:rsidRDefault="00EC238B" w:rsidP="000A5E57">
            <w:pPr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</w:rPr>
              <w:t>Metody oceňování podniku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F32F2F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660F4A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zk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657568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F55E35C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2/LS</w:t>
            </w:r>
          </w:p>
        </w:tc>
      </w:tr>
      <w:tr w:rsidR="00EC238B" w:rsidRPr="00EE6C23" w14:paraId="71E76C0F" w14:textId="77777777" w:rsidTr="000A5E57">
        <w:trPr>
          <w:trHeight w:val="20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65E5A610" w14:textId="77777777" w:rsidR="00EC238B" w:rsidRPr="00EE6C23" w:rsidRDefault="00EC238B" w:rsidP="000A5E57">
            <w:pPr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Závěrečná práce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20B2D1" w14:textId="77777777" w:rsidR="00EC238B" w:rsidRPr="00EE6C23" w:rsidRDefault="00EC238B" w:rsidP="000A5E57">
            <w:pPr>
              <w:ind w:left="425" w:hanging="425"/>
              <w:jc w:val="center"/>
              <w:rPr>
                <w:rFonts w:ascii="Inter" w:hAnsi="Inter"/>
              </w:rPr>
            </w:pPr>
            <w:r w:rsidRPr="00EE6C23">
              <w:rPr>
                <w:rFonts w:ascii="Inter" w:hAnsi="Inter"/>
              </w:rPr>
              <w:t>–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78D132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zk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FE39C3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–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BFADC6F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2/LS</w:t>
            </w:r>
          </w:p>
        </w:tc>
      </w:tr>
      <w:tr w:rsidR="00EC238B" w:rsidRPr="00EE6C23" w14:paraId="73590B1D" w14:textId="77777777" w:rsidTr="000A5E57">
        <w:trPr>
          <w:trHeight w:val="20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56295E34" w14:textId="77777777" w:rsidR="00EC238B" w:rsidRPr="00EE6C23" w:rsidRDefault="00EC238B" w:rsidP="000A5E57">
            <w:pPr>
              <w:rPr>
                <w:rFonts w:ascii="Inter" w:hAnsi="Inter"/>
                <w:b/>
                <w:color w:val="000000" w:themeColor="text1"/>
              </w:rPr>
            </w:pPr>
            <w:r w:rsidRPr="00EE6C23">
              <w:rPr>
                <w:rFonts w:ascii="Inter" w:hAnsi="Inter"/>
                <w:b/>
                <w:color w:val="000000" w:themeColor="text1"/>
              </w:rPr>
              <w:t>CELKEM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0FDA51" w14:textId="77777777" w:rsidR="00EC238B" w:rsidRPr="00EE6C23" w:rsidRDefault="00EC238B" w:rsidP="000A5E57">
            <w:pPr>
              <w:ind w:left="360"/>
              <w:rPr>
                <w:rFonts w:ascii="Inter" w:hAnsi="Inter"/>
              </w:rPr>
            </w:pPr>
            <w:r w:rsidRPr="00EE6C23">
              <w:rPr>
                <w:rFonts w:ascii="Inter" w:hAnsi="Inter"/>
                <w:b/>
              </w:rPr>
              <w:fldChar w:fldCharType="begin"/>
            </w:r>
            <w:r w:rsidRPr="00EE6C23">
              <w:rPr>
                <w:rFonts w:ascii="Inter" w:hAnsi="Inter"/>
                <w:b/>
              </w:rPr>
              <w:instrText xml:space="preserve"> =SUM(ABOVE) </w:instrText>
            </w:r>
            <w:r w:rsidRPr="00EE6C23">
              <w:rPr>
                <w:rFonts w:ascii="Inter" w:hAnsi="Inter"/>
                <w:b/>
              </w:rPr>
              <w:fldChar w:fldCharType="separate"/>
            </w:r>
            <w:r w:rsidRPr="00EE6C23">
              <w:rPr>
                <w:rFonts w:ascii="Inter" w:hAnsi="Inter"/>
                <w:b/>
                <w:noProof/>
              </w:rPr>
              <w:t>200</w:t>
            </w:r>
            <w:r w:rsidRPr="00EE6C23">
              <w:rPr>
                <w:rFonts w:ascii="Inter" w:hAnsi="Inter"/>
                <w:b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371EB4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  <w:r w:rsidRPr="00EE6C23">
              <w:rPr>
                <w:rFonts w:ascii="Inter" w:hAnsi="Inter"/>
                <w:color w:val="000000" w:themeColor="text1"/>
              </w:rPr>
              <w:t>16× zk/kz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A1D1F4" w14:textId="77777777" w:rsidR="00EC238B" w:rsidRPr="00EE6C23" w:rsidRDefault="00EC238B" w:rsidP="000A5E57">
            <w:pPr>
              <w:jc w:val="center"/>
              <w:rPr>
                <w:rFonts w:ascii="Inter" w:hAnsi="Inter"/>
                <w:b/>
                <w:color w:val="000000" w:themeColor="text1"/>
              </w:rPr>
            </w:pPr>
            <w:r w:rsidRPr="00EE6C23">
              <w:rPr>
                <w:rFonts w:ascii="Inter" w:hAnsi="Inter"/>
                <w:b/>
              </w:rPr>
              <w:fldChar w:fldCharType="begin"/>
            </w:r>
            <w:r w:rsidRPr="00EE6C23">
              <w:rPr>
                <w:rFonts w:ascii="Inter" w:hAnsi="Inter"/>
                <w:b/>
              </w:rPr>
              <w:instrText xml:space="preserve"> =SUM(ABOVE) </w:instrText>
            </w:r>
            <w:r w:rsidRPr="00EE6C23">
              <w:rPr>
                <w:rFonts w:ascii="Inter" w:hAnsi="Inter"/>
                <w:b/>
              </w:rPr>
              <w:fldChar w:fldCharType="separate"/>
            </w:r>
            <w:r w:rsidRPr="00EE6C23">
              <w:rPr>
                <w:rFonts w:ascii="Inter" w:hAnsi="Inter"/>
                <w:b/>
                <w:noProof/>
              </w:rPr>
              <w:t>45</w:t>
            </w:r>
            <w:r w:rsidRPr="00EE6C23">
              <w:rPr>
                <w:rFonts w:ascii="Inter" w:hAnsi="Inter"/>
                <w:b/>
              </w:rPr>
              <w:fldChar w:fldCharType="end"/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300736D" w14:textId="77777777" w:rsidR="00EC238B" w:rsidRPr="00EE6C23" w:rsidRDefault="00EC238B" w:rsidP="000A5E57">
            <w:pPr>
              <w:jc w:val="center"/>
              <w:rPr>
                <w:rFonts w:ascii="Inter" w:hAnsi="Inter"/>
                <w:color w:val="000000" w:themeColor="text1"/>
              </w:rPr>
            </w:pPr>
          </w:p>
        </w:tc>
      </w:tr>
    </w:tbl>
    <w:p w14:paraId="55F871DF" w14:textId="2617A570" w:rsidR="00EC238B" w:rsidRPr="00EC238B" w:rsidRDefault="00EC238B" w:rsidP="00EC238B">
      <w:pPr>
        <w:pStyle w:val="lneksmlouvy"/>
        <w:spacing w:before="240" w:after="240" w:line="240" w:lineRule="auto"/>
        <w:rPr>
          <w:rFonts w:ascii="Inter" w:hAnsi="Inter"/>
          <w:b/>
          <w:bCs/>
          <w:sz w:val="24"/>
          <w:szCs w:val="24"/>
        </w:rPr>
      </w:pPr>
      <w:r w:rsidRPr="00EE6C23">
        <w:rPr>
          <w:rFonts w:ascii="Inter" w:hAnsi="Inter"/>
          <w:sz w:val="24"/>
          <w:szCs w:val="24"/>
        </w:rPr>
        <w:t xml:space="preserve">Jednotlivé předměty jsou zakončeny </w:t>
      </w:r>
      <w:r w:rsidRPr="00493496">
        <w:rPr>
          <w:rFonts w:ascii="Inter" w:hAnsi="Inter"/>
          <w:sz w:val="24"/>
          <w:szCs w:val="24"/>
        </w:rPr>
        <w:t>zkouškou</w:t>
      </w:r>
      <w:r w:rsidRPr="00EE6C23">
        <w:rPr>
          <w:rFonts w:ascii="Inter" w:hAnsi="Inter"/>
          <w:b/>
          <w:sz w:val="24"/>
          <w:szCs w:val="24"/>
        </w:rPr>
        <w:t xml:space="preserve"> </w:t>
      </w:r>
      <w:r w:rsidRPr="00493496">
        <w:rPr>
          <w:rFonts w:ascii="Inter" w:hAnsi="Inter"/>
          <w:sz w:val="24"/>
          <w:szCs w:val="24"/>
        </w:rPr>
        <w:t>(</w:t>
      </w:r>
      <w:r w:rsidRPr="00EE6C23">
        <w:rPr>
          <w:rFonts w:ascii="Inter" w:hAnsi="Inter"/>
          <w:b/>
          <w:sz w:val="24"/>
          <w:szCs w:val="24"/>
        </w:rPr>
        <w:t>zk</w:t>
      </w:r>
      <w:r w:rsidRPr="00493496">
        <w:rPr>
          <w:rFonts w:ascii="Inter" w:hAnsi="Inter"/>
          <w:sz w:val="24"/>
          <w:szCs w:val="24"/>
        </w:rPr>
        <w:t>)</w:t>
      </w:r>
      <w:r w:rsidRPr="00EE6C23">
        <w:rPr>
          <w:rFonts w:ascii="Inter" w:hAnsi="Inter"/>
          <w:sz w:val="24"/>
          <w:szCs w:val="24"/>
        </w:rPr>
        <w:t xml:space="preserve"> nebo </w:t>
      </w:r>
      <w:r w:rsidRPr="00493496">
        <w:rPr>
          <w:rFonts w:ascii="Inter" w:hAnsi="Inter"/>
          <w:sz w:val="24"/>
          <w:szCs w:val="24"/>
        </w:rPr>
        <w:t>klasifikovaným zápočtem (</w:t>
      </w:r>
      <w:r w:rsidRPr="00EE6C23">
        <w:rPr>
          <w:rFonts w:ascii="Inter" w:hAnsi="Inter"/>
          <w:b/>
          <w:sz w:val="24"/>
          <w:szCs w:val="24"/>
        </w:rPr>
        <w:t>kz</w:t>
      </w:r>
      <w:r w:rsidRPr="00493496">
        <w:rPr>
          <w:rFonts w:ascii="Inter" w:hAnsi="Inter"/>
          <w:sz w:val="24"/>
          <w:szCs w:val="24"/>
        </w:rPr>
        <w:t xml:space="preserve">). </w:t>
      </w:r>
      <w:r w:rsidRPr="00EE6C23">
        <w:rPr>
          <w:rFonts w:ascii="Inter" w:hAnsi="Inter"/>
          <w:sz w:val="24"/>
          <w:szCs w:val="24"/>
        </w:rPr>
        <w:t>Frekventant kurzu si sám zvolí počátek studia a reguluje si intenzitu výuky. Po splnění všech studijních povinností (složení zkoušky, jejíž součástí může být zpracování případové studie) a vypracování závěrečné práce spočívající v ocenění konkrétního podniku je studium ukončeno závěrečnou zkouškou a obhajobou závěrečné práce před komisí. Délka studia (termín obhájení závěrečné práce) je limitována uplynutím čtyř let od zahájení, tj. dvojnásobkem standardní doby studia. Do výukových hodin je započítán i časový prostor pro případné dotazy a individuální konzultace. Součástí kurzu je také nepovinný tutoriál organizovaný pomocí dálkového přístupu.</w:t>
      </w:r>
    </w:p>
    <w:sectPr w:rsidR="00EC238B" w:rsidRPr="00EC238B" w:rsidSect="00CB6E10">
      <w:headerReference w:type="default" r:id="rId12"/>
      <w:footerReference w:type="even" r:id="rId13"/>
      <w:footerReference w:type="default" r:id="rId14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BD258" w14:textId="77777777" w:rsidR="00EF4231" w:rsidRPr="00D91740" w:rsidRDefault="00EF4231" w:rsidP="00D91740">
      <w:r>
        <w:separator/>
      </w:r>
    </w:p>
    <w:p w14:paraId="0C413F48" w14:textId="77777777" w:rsidR="00EF4231" w:rsidRDefault="00EF4231"/>
  </w:endnote>
  <w:endnote w:type="continuationSeparator" w:id="0">
    <w:p w14:paraId="3B12D75C" w14:textId="77777777" w:rsidR="00EF4231" w:rsidRPr="00D91740" w:rsidRDefault="00EF4231" w:rsidP="00D91740">
      <w:r>
        <w:continuationSeparator/>
      </w:r>
    </w:p>
    <w:p w14:paraId="5CDCBF15" w14:textId="77777777" w:rsidR="00EF4231" w:rsidRDefault="00EF42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ter"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C2D28" w14:textId="77777777" w:rsidR="00046556" w:rsidRDefault="00046556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12D477A" w14:textId="77777777" w:rsidR="00046556" w:rsidRDefault="00046556" w:rsidP="00046556">
    <w:pPr>
      <w:pStyle w:val="Zpat"/>
      <w:ind w:right="360"/>
    </w:pPr>
  </w:p>
  <w:p w14:paraId="6132D041" w14:textId="77777777" w:rsidR="00547226" w:rsidRDefault="0054722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E38F3" w14:textId="77777777" w:rsidR="00046556" w:rsidRPr="00617783" w:rsidRDefault="00046556">
    <w:pPr>
      <w:pStyle w:val="Zpat"/>
      <w:framePr w:wrap="none" w:vAnchor="text" w:hAnchor="margin" w:xAlign="right" w:y="1"/>
      <w:rPr>
        <w:rStyle w:val="slostrnky"/>
        <w:rFonts w:ascii="Inter" w:hAnsi="Inter"/>
      </w:rPr>
    </w:pPr>
    <w:r w:rsidRPr="00617783">
      <w:rPr>
        <w:rStyle w:val="slostrnky"/>
        <w:rFonts w:ascii="Inter" w:hAnsi="Inter"/>
      </w:rPr>
      <w:fldChar w:fldCharType="begin"/>
    </w:r>
    <w:r w:rsidRPr="00617783">
      <w:rPr>
        <w:rStyle w:val="slostrnky"/>
        <w:rFonts w:ascii="Inter" w:hAnsi="Inter"/>
      </w:rPr>
      <w:instrText xml:space="preserve"> PAGE </w:instrText>
    </w:r>
    <w:r w:rsidRPr="00617783">
      <w:rPr>
        <w:rStyle w:val="slostrnky"/>
        <w:rFonts w:ascii="Inter" w:hAnsi="Inter"/>
      </w:rPr>
      <w:fldChar w:fldCharType="separate"/>
    </w:r>
    <w:r w:rsidRPr="00617783">
      <w:rPr>
        <w:rStyle w:val="slostrnky"/>
        <w:rFonts w:ascii="Inter" w:hAnsi="Inter"/>
        <w:noProof/>
      </w:rPr>
      <w:t>3</w:t>
    </w:r>
    <w:r w:rsidRPr="00617783">
      <w:rPr>
        <w:rStyle w:val="slostrnky"/>
        <w:rFonts w:ascii="Inter" w:hAnsi="Inter"/>
      </w:rPr>
      <w:fldChar w:fldCharType="end"/>
    </w:r>
  </w:p>
  <w:p w14:paraId="496BAA0E" w14:textId="77777777" w:rsidR="00D96113" w:rsidRPr="00464510" w:rsidRDefault="00D96113" w:rsidP="00D96113">
    <w:pPr>
      <w:pStyle w:val="Zpat"/>
      <w:ind w:right="360"/>
      <w:rPr>
        <w:rFonts w:ascii="Inter" w:hAnsi="Inter"/>
        <w:color w:val="5948AD"/>
        <w:sz w:val="18"/>
        <w:szCs w:val="18"/>
      </w:rPr>
    </w:pPr>
    <w:r w:rsidRPr="00464510">
      <w:rPr>
        <w:rFonts w:ascii="Inter" w:hAnsi="Inter"/>
        <w:color w:val="5948AD"/>
        <w:sz w:val="18"/>
        <w:szCs w:val="18"/>
      </w:rPr>
      <w:t>Technická univerzita v Liberci</w:t>
    </w:r>
  </w:p>
  <w:p w14:paraId="4267A497" w14:textId="77777777" w:rsidR="00D96113" w:rsidRPr="00464510" w:rsidRDefault="00D96113" w:rsidP="00D96113">
    <w:pPr>
      <w:pStyle w:val="Zpat"/>
      <w:rPr>
        <w:rFonts w:ascii="Inter" w:hAnsi="Inter"/>
        <w:color w:val="5948AD"/>
        <w:sz w:val="18"/>
        <w:szCs w:val="18"/>
      </w:rPr>
    </w:pPr>
    <w:r w:rsidRPr="00464510">
      <w:rPr>
        <w:rFonts w:ascii="Inter" w:hAnsi="Inter"/>
        <w:color w:val="5948AD"/>
        <w:sz w:val="18"/>
        <w:szCs w:val="18"/>
      </w:rPr>
      <w:t>Studentská 1402/2, 461 17 Liberec 1 | www.tul.cz</w:t>
    </w:r>
  </w:p>
  <w:p w14:paraId="6287F041" w14:textId="77777777" w:rsidR="007F6EF7" w:rsidRDefault="007F6EF7" w:rsidP="00D961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EA91E" w14:textId="77777777" w:rsidR="00EF4231" w:rsidRPr="00D91740" w:rsidRDefault="00EF4231" w:rsidP="00D91740">
      <w:r>
        <w:separator/>
      </w:r>
    </w:p>
    <w:p w14:paraId="4DEAA469" w14:textId="77777777" w:rsidR="00EF4231" w:rsidRDefault="00EF4231"/>
  </w:footnote>
  <w:footnote w:type="continuationSeparator" w:id="0">
    <w:p w14:paraId="79434039" w14:textId="77777777" w:rsidR="00EF4231" w:rsidRPr="00D91740" w:rsidRDefault="00EF4231" w:rsidP="00D91740">
      <w:r>
        <w:continuationSeparator/>
      </w:r>
    </w:p>
    <w:p w14:paraId="2403B3C2" w14:textId="77777777" w:rsidR="00EF4231" w:rsidRDefault="00EF42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BCBDE" w14:textId="717A65CC" w:rsidR="007F6EF7" w:rsidRPr="00D91740" w:rsidRDefault="006D274D" w:rsidP="00E63C1E">
    <w:pPr>
      <w:pStyle w:val="Zhlav"/>
      <w:rPr>
        <w:rFonts w:ascii="Myriad Pro" w:hAnsi="Myriad Pro"/>
      </w:rPr>
    </w:pPr>
    <w:r>
      <w:rPr>
        <w:rFonts w:ascii="Myriad Pro" w:hAnsi="Myriad Pro"/>
        <w:noProof/>
      </w:rPr>
      <w:drawing>
        <wp:anchor distT="0" distB="0" distL="114300" distR="114300" simplePos="0" relativeHeight="251657728" behindDoc="0" locked="0" layoutInCell="1" allowOverlap="1" wp14:anchorId="13E7A007" wp14:editId="503A8E85">
          <wp:simplePos x="0" y="0"/>
          <wp:positionH relativeFrom="page">
            <wp:posOffset>369570</wp:posOffset>
          </wp:positionH>
          <wp:positionV relativeFrom="page">
            <wp:posOffset>88265</wp:posOffset>
          </wp:positionV>
          <wp:extent cx="1477645" cy="828040"/>
          <wp:effectExtent l="0" t="0" r="0" b="0"/>
          <wp:wrapNone/>
          <wp:docPr id="1" name="obrázek 1" descr="TUL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L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592F07" w14:textId="77777777" w:rsidR="007F6EF7" w:rsidRDefault="007F6E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840DE"/>
    <w:multiLevelType w:val="hybridMultilevel"/>
    <w:tmpl w:val="8822042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EC1DD7"/>
    <w:multiLevelType w:val="hybridMultilevel"/>
    <w:tmpl w:val="EAF0B0D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7F4726"/>
    <w:multiLevelType w:val="hybridMultilevel"/>
    <w:tmpl w:val="619E860E"/>
    <w:lvl w:ilvl="0" w:tplc="3D14B2A8">
      <w:start w:val="1"/>
      <w:numFmt w:val="lowerLetter"/>
      <w:lvlText w:val="%1)"/>
      <w:lvlJc w:val="left"/>
      <w:pPr>
        <w:ind w:left="720" w:hanging="360"/>
      </w:pPr>
      <w:rPr>
        <w:rFonts w:eastAsia="SymbolMT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01C44"/>
    <w:multiLevelType w:val="multilevel"/>
    <w:tmpl w:val="1DA6B4D0"/>
    <w:lvl w:ilvl="0">
      <w:start w:val="1"/>
      <w:numFmt w:val="upperRoman"/>
      <w:pStyle w:val="Nadpis1"/>
      <w:suff w:val="nothing"/>
      <w:lvlText w:val="Článek %1."/>
      <w:lvlJc w:val="center"/>
      <w:pPr>
        <w:ind w:left="0" w:firstLine="425"/>
      </w:pPr>
      <w:rPr>
        <w:rFonts w:hint="default"/>
      </w:rPr>
    </w:lvl>
    <w:lvl w:ilvl="1">
      <w:start w:val="1"/>
      <w:numFmt w:val="decimal"/>
      <w:pStyle w:val="Nadpis2"/>
      <w:lvlText w:val="(%2)"/>
      <w:lvlJc w:val="left"/>
      <w:pPr>
        <w:ind w:left="425" w:hanging="425"/>
      </w:pPr>
      <w:rPr>
        <w:rFonts w:hint="default"/>
      </w:rPr>
    </w:lvl>
    <w:lvl w:ilvl="2">
      <w:start w:val="1"/>
      <w:numFmt w:val="lowerLetter"/>
      <w:pStyle w:val="Nadpis3"/>
      <w:lvlText w:val="%3)"/>
      <w:lvlJc w:val="left"/>
      <w:pPr>
        <w:ind w:left="709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434279E"/>
    <w:multiLevelType w:val="hybridMultilevel"/>
    <w:tmpl w:val="20C0D804"/>
    <w:lvl w:ilvl="0" w:tplc="FCC84BE0">
      <w:start w:val="1"/>
      <w:numFmt w:val="upperRoman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AB2941"/>
    <w:multiLevelType w:val="hybridMultilevel"/>
    <w:tmpl w:val="8ED031FE"/>
    <w:lvl w:ilvl="0" w:tplc="2DF214EC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EA1233"/>
    <w:multiLevelType w:val="hybridMultilevel"/>
    <w:tmpl w:val="E346ADE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B741FE"/>
    <w:multiLevelType w:val="multilevel"/>
    <w:tmpl w:val="9A320C0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2315C80"/>
    <w:multiLevelType w:val="hybridMultilevel"/>
    <w:tmpl w:val="614887BE"/>
    <w:lvl w:ilvl="0" w:tplc="E11EDAA4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A3125"/>
    <w:multiLevelType w:val="hybridMultilevel"/>
    <w:tmpl w:val="5B344E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441927"/>
    <w:multiLevelType w:val="hybridMultilevel"/>
    <w:tmpl w:val="33D62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30644"/>
    <w:multiLevelType w:val="hybridMultilevel"/>
    <w:tmpl w:val="2084E6F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EA318BC"/>
    <w:multiLevelType w:val="hybridMultilevel"/>
    <w:tmpl w:val="F146D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764815">
    <w:abstractNumId w:val="10"/>
  </w:num>
  <w:num w:numId="2" w16cid:durableId="2068720141">
    <w:abstractNumId w:val="5"/>
  </w:num>
  <w:num w:numId="3" w16cid:durableId="1674065850">
    <w:abstractNumId w:val="12"/>
  </w:num>
  <w:num w:numId="4" w16cid:durableId="54549312">
    <w:abstractNumId w:val="1"/>
  </w:num>
  <w:num w:numId="5" w16cid:durableId="1521433228">
    <w:abstractNumId w:val="0"/>
  </w:num>
  <w:num w:numId="6" w16cid:durableId="51465618">
    <w:abstractNumId w:val="9"/>
  </w:num>
  <w:num w:numId="7" w16cid:durableId="1657301574">
    <w:abstractNumId w:val="7"/>
  </w:num>
  <w:num w:numId="8" w16cid:durableId="892929672">
    <w:abstractNumId w:val="13"/>
  </w:num>
  <w:num w:numId="9" w16cid:durableId="1323394136">
    <w:abstractNumId w:val="6"/>
  </w:num>
  <w:num w:numId="10" w16cid:durableId="2022925651">
    <w:abstractNumId w:val="11"/>
  </w:num>
  <w:num w:numId="11" w16cid:durableId="665017212">
    <w:abstractNumId w:val="14"/>
  </w:num>
  <w:num w:numId="12" w16cid:durableId="1418677310">
    <w:abstractNumId w:val="4"/>
  </w:num>
  <w:num w:numId="13" w16cid:durableId="2147382472">
    <w:abstractNumId w:val="8"/>
  </w:num>
  <w:num w:numId="14" w16cid:durableId="1757511103">
    <w:abstractNumId w:val="2"/>
  </w:num>
  <w:num w:numId="15" w16cid:durableId="1702241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91"/>
    <w:rsid w:val="0000014E"/>
    <w:rsid w:val="00016D7E"/>
    <w:rsid w:val="00020671"/>
    <w:rsid w:val="0002342B"/>
    <w:rsid w:val="000306B7"/>
    <w:rsid w:val="00031CAA"/>
    <w:rsid w:val="000323B9"/>
    <w:rsid w:val="000363A3"/>
    <w:rsid w:val="00037E8B"/>
    <w:rsid w:val="000447FF"/>
    <w:rsid w:val="00045F29"/>
    <w:rsid w:val="00046556"/>
    <w:rsid w:val="0007206B"/>
    <w:rsid w:val="0007638B"/>
    <w:rsid w:val="00090098"/>
    <w:rsid w:val="0009301E"/>
    <w:rsid w:val="00094E29"/>
    <w:rsid w:val="000B2FD0"/>
    <w:rsid w:val="000B338B"/>
    <w:rsid w:val="000C00A6"/>
    <w:rsid w:val="000C73BA"/>
    <w:rsid w:val="000D3CD6"/>
    <w:rsid w:val="000E6916"/>
    <w:rsid w:val="000E6928"/>
    <w:rsid w:val="000F1B08"/>
    <w:rsid w:val="000F2DBB"/>
    <w:rsid w:val="00100CF9"/>
    <w:rsid w:val="0011474B"/>
    <w:rsid w:val="00137419"/>
    <w:rsid w:val="00140328"/>
    <w:rsid w:val="001472E5"/>
    <w:rsid w:val="00155F5B"/>
    <w:rsid w:val="00162831"/>
    <w:rsid w:val="00162D03"/>
    <w:rsid w:val="00165B90"/>
    <w:rsid w:val="001764F7"/>
    <w:rsid w:val="0018101C"/>
    <w:rsid w:val="001861EF"/>
    <w:rsid w:val="001903D8"/>
    <w:rsid w:val="00193FB5"/>
    <w:rsid w:val="00194E09"/>
    <w:rsid w:val="00197647"/>
    <w:rsid w:val="001A21D5"/>
    <w:rsid w:val="001A491E"/>
    <w:rsid w:val="001A5FEB"/>
    <w:rsid w:val="001D0688"/>
    <w:rsid w:val="001E0389"/>
    <w:rsid w:val="001E574E"/>
    <w:rsid w:val="001E58AA"/>
    <w:rsid w:val="00200B57"/>
    <w:rsid w:val="00204DA5"/>
    <w:rsid w:val="00205388"/>
    <w:rsid w:val="00233367"/>
    <w:rsid w:val="00244E3D"/>
    <w:rsid w:val="00261ABC"/>
    <w:rsid w:val="00264B3C"/>
    <w:rsid w:val="0026636C"/>
    <w:rsid w:val="00266D1E"/>
    <w:rsid w:val="00270EEF"/>
    <w:rsid w:val="00271AAA"/>
    <w:rsid w:val="0028047C"/>
    <w:rsid w:val="0029600C"/>
    <w:rsid w:val="002A1B54"/>
    <w:rsid w:val="002A3F19"/>
    <w:rsid w:val="002D0D62"/>
    <w:rsid w:val="002D1C34"/>
    <w:rsid w:val="002E615D"/>
    <w:rsid w:val="002F2D27"/>
    <w:rsid w:val="0031128F"/>
    <w:rsid w:val="00314A7D"/>
    <w:rsid w:val="003164B9"/>
    <w:rsid w:val="003341F8"/>
    <w:rsid w:val="00336428"/>
    <w:rsid w:val="003534CF"/>
    <w:rsid w:val="003567F3"/>
    <w:rsid w:val="00357FB7"/>
    <w:rsid w:val="00360F6F"/>
    <w:rsid w:val="00372720"/>
    <w:rsid w:val="00373002"/>
    <w:rsid w:val="00373D68"/>
    <w:rsid w:val="003855A8"/>
    <w:rsid w:val="00391A0C"/>
    <w:rsid w:val="00392572"/>
    <w:rsid w:val="003B5303"/>
    <w:rsid w:val="003C2732"/>
    <w:rsid w:val="003C2A30"/>
    <w:rsid w:val="003D4251"/>
    <w:rsid w:val="003E23D0"/>
    <w:rsid w:val="003E39E8"/>
    <w:rsid w:val="003E73C1"/>
    <w:rsid w:val="003F53C3"/>
    <w:rsid w:val="003F5C1D"/>
    <w:rsid w:val="003F708D"/>
    <w:rsid w:val="0041455E"/>
    <w:rsid w:val="00415EDC"/>
    <w:rsid w:val="004164DE"/>
    <w:rsid w:val="004239E6"/>
    <w:rsid w:val="004277CA"/>
    <w:rsid w:val="00430B97"/>
    <w:rsid w:val="00430EF9"/>
    <w:rsid w:val="00464510"/>
    <w:rsid w:val="0047294E"/>
    <w:rsid w:val="00475758"/>
    <w:rsid w:val="00482981"/>
    <w:rsid w:val="004A3C47"/>
    <w:rsid w:val="004A7D64"/>
    <w:rsid w:val="004A7DC8"/>
    <w:rsid w:val="004B1E21"/>
    <w:rsid w:val="004C276E"/>
    <w:rsid w:val="004C58D8"/>
    <w:rsid w:val="004C6D56"/>
    <w:rsid w:val="004C7BBE"/>
    <w:rsid w:val="004D2CEC"/>
    <w:rsid w:val="004D2D83"/>
    <w:rsid w:val="004F1DBF"/>
    <w:rsid w:val="004F2057"/>
    <w:rsid w:val="00502042"/>
    <w:rsid w:val="0051449F"/>
    <w:rsid w:val="0051708A"/>
    <w:rsid w:val="0054513A"/>
    <w:rsid w:val="0054538F"/>
    <w:rsid w:val="00547226"/>
    <w:rsid w:val="00547F33"/>
    <w:rsid w:val="005511D0"/>
    <w:rsid w:val="0055432D"/>
    <w:rsid w:val="00573975"/>
    <w:rsid w:val="00581D47"/>
    <w:rsid w:val="0058708C"/>
    <w:rsid w:val="00591D99"/>
    <w:rsid w:val="005A7E2C"/>
    <w:rsid w:val="005B0BEA"/>
    <w:rsid w:val="005B2794"/>
    <w:rsid w:val="005B2DBA"/>
    <w:rsid w:val="005B2F7C"/>
    <w:rsid w:val="005B7019"/>
    <w:rsid w:val="005C0361"/>
    <w:rsid w:val="005C195F"/>
    <w:rsid w:val="005D41D5"/>
    <w:rsid w:val="005E0E2E"/>
    <w:rsid w:val="005E2CAB"/>
    <w:rsid w:val="005E3385"/>
    <w:rsid w:val="005F3542"/>
    <w:rsid w:val="00617783"/>
    <w:rsid w:val="00623766"/>
    <w:rsid w:val="0062547B"/>
    <w:rsid w:val="00634874"/>
    <w:rsid w:val="00635E47"/>
    <w:rsid w:val="00646C68"/>
    <w:rsid w:val="00647603"/>
    <w:rsid w:val="0064790D"/>
    <w:rsid w:val="00651129"/>
    <w:rsid w:val="00656556"/>
    <w:rsid w:val="006662FD"/>
    <w:rsid w:val="00671B11"/>
    <w:rsid w:val="00682258"/>
    <w:rsid w:val="006836B1"/>
    <w:rsid w:val="00692269"/>
    <w:rsid w:val="00694323"/>
    <w:rsid w:val="006A2B2E"/>
    <w:rsid w:val="006A7B72"/>
    <w:rsid w:val="006B2306"/>
    <w:rsid w:val="006B4BBC"/>
    <w:rsid w:val="006C04B4"/>
    <w:rsid w:val="006C1248"/>
    <w:rsid w:val="006C2E91"/>
    <w:rsid w:val="006C4918"/>
    <w:rsid w:val="006C6D14"/>
    <w:rsid w:val="006D274D"/>
    <w:rsid w:val="006F64F9"/>
    <w:rsid w:val="00701B0B"/>
    <w:rsid w:val="007073C4"/>
    <w:rsid w:val="00710454"/>
    <w:rsid w:val="007122E7"/>
    <w:rsid w:val="007177FF"/>
    <w:rsid w:val="00727D1E"/>
    <w:rsid w:val="00732BAD"/>
    <w:rsid w:val="00734148"/>
    <w:rsid w:val="007439AA"/>
    <w:rsid w:val="00751417"/>
    <w:rsid w:val="00755791"/>
    <w:rsid w:val="00765B80"/>
    <w:rsid w:val="0076688C"/>
    <w:rsid w:val="00772D38"/>
    <w:rsid w:val="007772C3"/>
    <w:rsid w:val="0078010C"/>
    <w:rsid w:val="00782C6B"/>
    <w:rsid w:val="007E1211"/>
    <w:rsid w:val="007E1B00"/>
    <w:rsid w:val="007E1CDE"/>
    <w:rsid w:val="007E3086"/>
    <w:rsid w:val="007F276C"/>
    <w:rsid w:val="007F2D66"/>
    <w:rsid w:val="007F3E35"/>
    <w:rsid w:val="007F55A7"/>
    <w:rsid w:val="007F6EF7"/>
    <w:rsid w:val="00822CC3"/>
    <w:rsid w:val="0082492F"/>
    <w:rsid w:val="00830E69"/>
    <w:rsid w:val="00854445"/>
    <w:rsid w:val="00854A4C"/>
    <w:rsid w:val="00860CE0"/>
    <w:rsid w:val="00867454"/>
    <w:rsid w:val="0086780A"/>
    <w:rsid w:val="00876BDF"/>
    <w:rsid w:val="008862F4"/>
    <w:rsid w:val="00886AC1"/>
    <w:rsid w:val="008A59E2"/>
    <w:rsid w:val="008A6EEA"/>
    <w:rsid w:val="008A71A9"/>
    <w:rsid w:val="008B426E"/>
    <w:rsid w:val="008B5A18"/>
    <w:rsid w:val="008C0752"/>
    <w:rsid w:val="008C1045"/>
    <w:rsid w:val="008C7C74"/>
    <w:rsid w:val="008D0430"/>
    <w:rsid w:val="008D4AC0"/>
    <w:rsid w:val="008E30D5"/>
    <w:rsid w:val="008F21D4"/>
    <w:rsid w:val="008F3DC9"/>
    <w:rsid w:val="009023BA"/>
    <w:rsid w:val="009038F2"/>
    <w:rsid w:val="009224B0"/>
    <w:rsid w:val="0093268F"/>
    <w:rsid w:val="009338CB"/>
    <w:rsid w:val="00935579"/>
    <w:rsid w:val="009366E5"/>
    <w:rsid w:val="00940BBE"/>
    <w:rsid w:val="00941A57"/>
    <w:rsid w:val="0094500F"/>
    <w:rsid w:val="00952E45"/>
    <w:rsid w:val="00953FC3"/>
    <w:rsid w:val="009562F4"/>
    <w:rsid w:val="0096147B"/>
    <w:rsid w:val="009654F3"/>
    <w:rsid w:val="00973D31"/>
    <w:rsid w:val="00976C5C"/>
    <w:rsid w:val="009779EA"/>
    <w:rsid w:val="00981D60"/>
    <w:rsid w:val="00991063"/>
    <w:rsid w:val="009953E4"/>
    <w:rsid w:val="009A4D01"/>
    <w:rsid w:val="009B3FFE"/>
    <w:rsid w:val="009B680A"/>
    <w:rsid w:val="009B6FDE"/>
    <w:rsid w:val="009C3F89"/>
    <w:rsid w:val="009D21D8"/>
    <w:rsid w:val="009D49BE"/>
    <w:rsid w:val="009D4D09"/>
    <w:rsid w:val="009E533C"/>
    <w:rsid w:val="009E5571"/>
    <w:rsid w:val="009E7D91"/>
    <w:rsid w:val="009F2EAC"/>
    <w:rsid w:val="009F67BD"/>
    <w:rsid w:val="00A13D9A"/>
    <w:rsid w:val="00A1575D"/>
    <w:rsid w:val="00A168E4"/>
    <w:rsid w:val="00A227BB"/>
    <w:rsid w:val="00A344C4"/>
    <w:rsid w:val="00A51007"/>
    <w:rsid w:val="00A51059"/>
    <w:rsid w:val="00A539DD"/>
    <w:rsid w:val="00A71CEE"/>
    <w:rsid w:val="00A83757"/>
    <w:rsid w:val="00A83A66"/>
    <w:rsid w:val="00A93231"/>
    <w:rsid w:val="00A947EC"/>
    <w:rsid w:val="00AC4937"/>
    <w:rsid w:val="00AC6790"/>
    <w:rsid w:val="00AD387A"/>
    <w:rsid w:val="00B01BBF"/>
    <w:rsid w:val="00B069B8"/>
    <w:rsid w:val="00B11F36"/>
    <w:rsid w:val="00B152C8"/>
    <w:rsid w:val="00B1607E"/>
    <w:rsid w:val="00B217D5"/>
    <w:rsid w:val="00B22B3F"/>
    <w:rsid w:val="00B2558D"/>
    <w:rsid w:val="00B266B5"/>
    <w:rsid w:val="00B33560"/>
    <w:rsid w:val="00B34431"/>
    <w:rsid w:val="00B40DD1"/>
    <w:rsid w:val="00B413E2"/>
    <w:rsid w:val="00B620E2"/>
    <w:rsid w:val="00B65538"/>
    <w:rsid w:val="00B67239"/>
    <w:rsid w:val="00B7675D"/>
    <w:rsid w:val="00B82A89"/>
    <w:rsid w:val="00B82B57"/>
    <w:rsid w:val="00B94D65"/>
    <w:rsid w:val="00B95026"/>
    <w:rsid w:val="00B954A7"/>
    <w:rsid w:val="00BB1A09"/>
    <w:rsid w:val="00BC6C92"/>
    <w:rsid w:val="00BD4858"/>
    <w:rsid w:val="00BD4B5B"/>
    <w:rsid w:val="00BE4CE5"/>
    <w:rsid w:val="00BE642D"/>
    <w:rsid w:val="00BF524F"/>
    <w:rsid w:val="00C11798"/>
    <w:rsid w:val="00C14FA8"/>
    <w:rsid w:val="00C17DE9"/>
    <w:rsid w:val="00C2033B"/>
    <w:rsid w:val="00C23D48"/>
    <w:rsid w:val="00C27B16"/>
    <w:rsid w:val="00C37902"/>
    <w:rsid w:val="00C426EC"/>
    <w:rsid w:val="00C52697"/>
    <w:rsid w:val="00C56312"/>
    <w:rsid w:val="00C62FCA"/>
    <w:rsid w:val="00C74E92"/>
    <w:rsid w:val="00CA6BBE"/>
    <w:rsid w:val="00CB2217"/>
    <w:rsid w:val="00CB430D"/>
    <w:rsid w:val="00CB6E10"/>
    <w:rsid w:val="00CB718A"/>
    <w:rsid w:val="00CF2C49"/>
    <w:rsid w:val="00D15221"/>
    <w:rsid w:val="00D26A5B"/>
    <w:rsid w:val="00D52187"/>
    <w:rsid w:val="00D60908"/>
    <w:rsid w:val="00D679AA"/>
    <w:rsid w:val="00D71AC8"/>
    <w:rsid w:val="00D74C72"/>
    <w:rsid w:val="00D91740"/>
    <w:rsid w:val="00D96113"/>
    <w:rsid w:val="00D977E0"/>
    <w:rsid w:val="00D97F6A"/>
    <w:rsid w:val="00DA6B94"/>
    <w:rsid w:val="00DD2774"/>
    <w:rsid w:val="00DE335D"/>
    <w:rsid w:val="00DE4FF6"/>
    <w:rsid w:val="00DE667C"/>
    <w:rsid w:val="00DE790B"/>
    <w:rsid w:val="00DF2901"/>
    <w:rsid w:val="00DF3F1D"/>
    <w:rsid w:val="00DF56E4"/>
    <w:rsid w:val="00E0357F"/>
    <w:rsid w:val="00E06696"/>
    <w:rsid w:val="00E072E1"/>
    <w:rsid w:val="00E151B0"/>
    <w:rsid w:val="00E21B79"/>
    <w:rsid w:val="00E36074"/>
    <w:rsid w:val="00E5788A"/>
    <w:rsid w:val="00E601E8"/>
    <w:rsid w:val="00E63C1E"/>
    <w:rsid w:val="00E76C95"/>
    <w:rsid w:val="00E974F3"/>
    <w:rsid w:val="00EA0774"/>
    <w:rsid w:val="00EB1006"/>
    <w:rsid w:val="00EB35A5"/>
    <w:rsid w:val="00EB40DD"/>
    <w:rsid w:val="00EC09B3"/>
    <w:rsid w:val="00EC1907"/>
    <w:rsid w:val="00EC238B"/>
    <w:rsid w:val="00ED1397"/>
    <w:rsid w:val="00ED19F2"/>
    <w:rsid w:val="00ED7798"/>
    <w:rsid w:val="00EE0CD7"/>
    <w:rsid w:val="00EE2FBA"/>
    <w:rsid w:val="00EE708C"/>
    <w:rsid w:val="00EF4231"/>
    <w:rsid w:val="00EF7E38"/>
    <w:rsid w:val="00F04E45"/>
    <w:rsid w:val="00F06EA0"/>
    <w:rsid w:val="00F120AD"/>
    <w:rsid w:val="00F15FF1"/>
    <w:rsid w:val="00F21D13"/>
    <w:rsid w:val="00F47BDF"/>
    <w:rsid w:val="00F5292E"/>
    <w:rsid w:val="00F62B5A"/>
    <w:rsid w:val="00F8187E"/>
    <w:rsid w:val="00FA0AD8"/>
    <w:rsid w:val="00FB2A8C"/>
    <w:rsid w:val="00FB51CD"/>
    <w:rsid w:val="00FC7439"/>
    <w:rsid w:val="00FD15CD"/>
    <w:rsid w:val="00FE2549"/>
    <w:rsid w:val="00FE3A8F"/>
    <w:rsid w:val="00FE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3D86CF"/>
  <w15:chartTrackingRefBased/>
  <w15:docId w15:val="{1002B4D9-E6A7-4BA9-BB96-16C7E27C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2E91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00CF9"/>
    <w:pPr>
      <w:keepNext/>
      <w:keepLines/>
      <w:numPr>
        <w:numId w:val="15"/>
      </w:numPr>
      <w:adjustRightInd w:val="0"/>
      <w:spacing w:before="480" w:after="240"/>
      <w:jc w:val="center"/>
      <w:outlineLvl w:val="0"/>
    </w:pPr>
    <w:rPr>
      <w:rFonts w:ascii="Inter" w:hAnsi="Inter" w:cs="Tahoma"/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3E35"/>
    <w:pPr>
      <w:numPr>
        <w:ilvl w:val="1"/>
        <w:numId w:val="15"/>
      </w:numPr>
      <w:adjustRightInd w:val="0"/>
      <w:jc w:val="both"/>
      <w:outlineLvl w:val="1"/>
    </w:pPr>
    <w:rPr>
      <w:rFonts w:ascii="Inter" w:hAnsi="Inter" w:cs="Tahom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F3E35"/>
    <w:pPr>
      <w:numPr>
        <w:ilvl w:val="2"/>
        <w:numId w:val="15"/>
      </w:numPr>
      <w:adjustRightInd w:val="0"/>
      <w:jc w:val="both"/>
      <w:outlineLvl w:val="2"/>
    </w:pPr>
    <w:rPr>
      <w:rFonts w:ascii="Inter" w:hAnsi="Inter" w:cs="Tahom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100CF9"/>
    <w:rPr>
      <w:rFonts w:ascii="Inter" w:hAnsi="Inter" w:cs="Tahoma"/>
      <w:b/>
      <w:bCs/>
      <w:sz w:val="24"/>
      <w:szCs w:val="24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  <w:rPr>
      <w:rFonts w:eastAsia="Times New Roman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Cs w:val="22"/>
      <w:lang w:val="x-none"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Zkladntext">
    <w:name w:val="Body Text"/>
    <w:basedOn w:val="Normln"/>
    <w:link w:val="ZkladntextChar"/>
    <w:rsid w:val="006C2E91"/>
    <w:pPr>
      <w:jc w:val="both"/>
    </w:pPr>
    <w:rPr>
      <w:lang w:val="x-none" w:eastAsia="x-none"/>
    </w:rPr>
  </w:style>
  <w:style w:type="character" w:customStyle="1" w:styleId="ZkladntextChar">
    <w:name w:val="Základní text Char"/>
    <w:link w:val="Zkladntext"/>
    <w:rsid w:val="006C2E91"/>
    <w:rPr>
      <w:rFonts w:ascii="Tms Rmn" w:eastAsia="Times New Roman" w:hAnsi="Tms Rmn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rsid w:val="006C2E91"/>
    <w:pPr>
      <w:ind w:firstLine="709"/>
      <w:jc w:val="both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6C2E91"/>
    <w:rPr>
      <w:rFonts w:ascii="Tms Rmn" w:eastAsia="Times New Roman" w:hAnsi="Tms Rmn" w:cs="Tms Rmn"/>
      <w:sz w:val="24"/>
      <w:szCs w:val="24"/>
    </w:rPr>
  </w:style>
  <w:style w:type="paragraph" w:styleId="Nzev">
    <w:name w:val="Title"/>
    <w:basedOn w:val="Normln"/>
    <w:link w:val="NzevChar"/>
    <w:qFormat/>
    <w:rsid w:val="00DE335D"/>
    <w:pPr>
      <w:adjustRightInd w:val="0"/>
      <w:jc w:val="center"/>
    </w:pPr>
    <w:rPr>
      <w:rFonts w:ascii="Inter" w:hAnsi="Inter" w:cs="Tahoma"/>
      <w:b/>
      <w:bCs/>
      <w:sz w:val="28"/>
      <w:szCs w:val="28"/>
    </w:rPr>
  </w:style>
  <w:style w:type="character" w:customStyle="1" w:styleId="NzevChar">
    <w:name w:val="Název Char"/>
    <w:link w:val="Nzev"/>
    <w:rsid w:val="00DE335D"/>
    <w:rPr>
      <w:rFonts w:ascii="Inter" w:hAnsi="Inter" w:cs="Tahoma"/>
      <w:b/>
      <w:bCs/>
      <w:sz w:val="28"/>
      <w:szCs w:val="28"/>
    </w:rPr>
  </w:style>
  <w:style w:type="character" w:styleId="Odkaznakoment">
    <w:name w:val="annotation reference"/>
    <w:uiPriority w:val="99"/>
    <w:semiHidden/>
    <w:unhideWhenUsed/>
    <w:rsid w:val="008249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492F"/>
  </w:style>
  <w:style w:type="character" w:customStyle="1" w:styleId="TextkomenteChar">
    <w:name w:val="Text komentáře Char"/>
    <w:link w:val="Textkomente"/>
    <w:uiPriority w:val="99"/>
    <w:semiHidden/>
    <w:rsid w:val="0082492F"/>
    <w:rPr>
      <w:rFonts w:ascii="Tms Rmn" w:eastAsia="Times New Roman" w:hAnsi="Tms Rmn" w:cs="Tms Rmn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492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2492F"/>
    <w:rPr>
      <w:rFonts w:ascii="Tms Rmn" w:eastAsia="Times New Roman" w:hAnsi="Tms Rmn" w:cs="Tms Rmn"/>
      <w:b/>
      <w:bCs/>
      <w:lang w:val="en-US"/>
    </w:rPr>
  </w:style>
  <w:style w:type="paragraph" w:customStyle="1" w:styleId="lneksmlouvy">
    <w:name w:val="článek_smlouvy"/>
    <w:basedOn w:val="Normln"/>
    <w:qFormat/>
    <w:rsid w:val="005B2794"/>
    <w:pPr>
      <w:autoSpaceDE/>
      <w:autoSpaceDN/>
      <w:spacing w:after="100" w:line="288" w:lineRule="auto"/>
      <w:jc w:val="both"/>
    </w:pPr>
    <w:rPr>
      <w:rFonts w:ascii="Arial" w:hAnsi="Arial" w:cs="Calibri"/>
      <w:sz w:val="22"/>
      <w:szCs w:val="22"/>
      <w:lang w:eastAsia="en-US"/>
    </w:rPr>
  </w:style>
  <w:style w:type="character" w:styleId="slostrnky">
    <w:name w:val="page number"/>
    <w:basedOn w:val="Standardnpsmoodstavce"/>
    <w:uiPriority w:val="99"/>
    <w:unhideWhenUsed/>
    <w:rsid w:val="00046556"/>
  </w:style>
  <w:style w:type="character" w:customStyle="1" w:styleId="Nadpis2Char">
    <w:name w:val="Nadpis 2 Char"/>
    <w:basedOn w:val="Standardnpsmoodstavce"/>
    <w:link w:val="Nadpis2"/>
    <w:uiPriority w:val="9"/>
    <w:rsid w:val="007F3E35"/>
    <w:rPr>
      <w:rFonts w:ascii="Inter" w:hAnsi="Inter" w:cs="Tahoma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7F3E35"/>
    <w:rPr>
      <w:rFonts w:ascii="Inter" w:hAnsi="Inter" w:cs="Tahoma"/>
      <w:sz w:val="24"/>
      <w:szCs w:val="24"/>
    </w:rPr>
  </w:style>
  <w:style w:type="paragraph" w:styleId="Revize">
    <w:name w:val="Revision"/>
    <w:hidden/>
    <w:uiPriority w:val="99"/>
    <w:semiHidden/>
    <w:rsid w:val="00E36074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620E2"/>
    <w:rPr>
      <w:color w:val="5948A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1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8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8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tranet.tul.cz/intranet-zamestnanci/vnitrni-normy-a-formulare/vnitrni-predpis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.prokop\Desktop\Michal-Dokumenty\_Prokop%20Michal\tul-hlavickovy-papir-zakladni-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8" ma:contentTypeDescription="Vytvoří nový dokument" ma:contentTypeScope="" ma:versionID="a3b26fe18f82d73db5d56231567cca4a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de65001374309e700a968310d320af36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fbb0a0-8cb5-48f6-909f-349dd58318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550EA-C764-4E50-B204-25B1D3EB2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F89040-D031-4795-9B37-9A6671BEE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3648FD-19E8-423A-B6BB-C60591FCB90B}">
  <ds:schemaRefs>
    <ds:schemaRef ds:uri="http://schemas.microsoft.com/office/2006/metadata/properties"/>
    <ds:schemaRef ds:uri="http://schemas.microsoft.com/office/infopath/2007/PartnerControls"/>
    <ds:schemaRef ds:uri="b7fbb0a0-8cb5-48f6-909f-349dd5831800"/>
  </ds:schemaRefs>
</ds:datastoreItem>
</file>

<file path=customXml/itemProps4.xml><?xml version="1.0" encoding="utf-8"?>
<ds:datastoreItem xmlns:ds="http://schemas.openxmlformats.org/officeDocument/2006/customXml" ds:itemID="{3E331525-5955-4F17-ADE6-9B2A163C7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tul-hlavickovy-papir-zakladni-cz</Template>
  <TotalTime>2</TotalTime>
  <Pages>5</Pages>
  <Words>1253</Words>
  <Characters>7118</Characters>
  <Application>Microsoft Office Word</Application>
  <DocSecurity>0</DocSecurity>
  <Lines>254</Lines>
  <Paragraphs>174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>Barbora Zajícová</dc:creator>
  <cp:keywords/>
  <cp:lastModifiedBy>Eva Slavětínská</cp:lastModifiedBy>
  <cp:revision>3</cp:revision>
  <cp:lastPrinted>2020-03-02T12:13:00Z</cp:lastPrinted>
  <dcterms:created xsi:type="dcterms:W3CDTF">2024-11-15T11:39:00Z</dcterms:created>
  <dcterms:modified xsi:type="dcterms:W3CDTF">2024-11-15T11:39:00Z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  <property fmtid="{D5CDD505-2E9C-101B-9397-08002B2CF9AE}" pid="3" name="GrammarlyDocumentId">
    <vt:lpwstr>4b4aabfda0b0818f7aad95d26a11b08382b9c7eacb0a4ce9696237f21d6892e9</vt:lpwstr>
  </property>
</Properties>
</file>